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4"/>
        <w:ind w:left="386"/>
        <w:rPr>
          <w:rFonts w:hint="eastAsia" w:ascii="黑体" w:eastAsia="黑体"/>
          <w:lang w:val="en-US" w:eastAsia="zh-CN"/>
        </w:rPr>
      </w:pPr>
      <w:r>
        <w:rPr>
          <w:rFonts w:hint="eastAsia" w:ascii="黑体" w:eastAsia="黑体"/>
        </w:rPr>
        <w:t>附件</w:t>
      </w:r>
      <w:r>
        <w:rPr>
          <w:rFonts w:hint="eastAsia" w:ascii="黑体" w:eastAsia="黑体"/>
          <w:lang w:val="en-US" w:eastAsia="zh-CN"/>
        </w:rPr>
        <w:t>3</w:t>
      </w:r>
    </w:p>
    <w:p>
      <w:pPr>
        <w:pStyle w:val="2"/>
        <w:spacing w:before="33"/>
      </w:pPr>
      <w:r>
        <w:t>职称系列专业类别对应技能类职业</w:t>
      </w:r>
    </w:p>
    <w:p>
      <w:pPr>
        <w:spacing w:before="28"/>
        <w:ind w:left="407" w:right="411" w:firstLine="0"/>
        <w:jc w:val="center"/>
        <w:rPr>
          <w:sz w:val="40"/>
        </w:rPr>
      </w:pPr>
      <w:r>
        <w:rPr>
          <w:sz w:val="40"/>
        </w:rPr>
        <w:t>（工种）指导目录</w:t>
      </w:r>
    </w:p>
    <w:p>
      <w:pPr>
        <w:pStyle w:val="3"/>
        <w:spacing w:before="4"/>
        <w:rPr>
          <w:sz w:val="21"/>
        </w:rPr>
      </w:pPr>
    </w:p>
    <w:tbl>
      <w:tblPr>
        <w:tblStyle w:val="4"/>
        <w:tblW w:w="8957"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3"/>
        <w:gridCol w:w="558"/>
        <w:gridCol w:w="1017"/>
        <w:gridCol w:w="5145"/>
        <w:gridCol w:w="17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42" w:hRule="atLeast"/>
        </w:trPr>
        <w:tc>
          <w:tcPr>
            <w:tcW w:w="533" w:type="dxa"/>
            <w:vAlign w:val="center"/>
          </w:tcPr>
          <w:p>
            <w:pPr>
              <w:pStyle w:val="6"/>
              <w:keepNext w:val="0"/>
              <w:keepLines w:val="0"/>
              <w:suppressLineNumbers w:val="0"/>
              <w:spacing w:before="5" w:beforeAutospacing="0" w:afterAutospacing="0"/>
              <w:jc w:val="center"/>
              <w:rPr>
                <w:rFonts w:hint="default"/>
                <w:kern w:val="2"/>
                <w:sz w:val="20"/>
              </w:rPr>
            </w:pPr>
          </w:p>
          <w:p>
            <w:pPr>
              <w:pStyle w:val="6"/>
              <w:keepNext w:val="0"/>
              <w:keepLines w:val="0"/>
              <w:suppressLineNumbers w:val="0"/>
              <w:spacing w:before="1" w:beforeAutospacing="0" w:afterAutospacing="0"/>
              <w:ind w:left="37"/>
              <w:jc w:val="center"/>
              <w:rPr>
                <w:rFonts w:hint="eastAsia" w:ascii="黑体" w:eastAsia="黑体"/>
                <w:kern w:val="2"/>
                <w:sz w:val="24"/>
              </w:rPr>
            </w:pPr>
            <w:r>
              <w:rPr>
                <w:rFonts w:hint="eastAsia" w:ascii="黑体" w:eastAsia="黑体"/>
                <w:kern w:val="2"/>
                <w:sz w:val="24"/>
              </w:rPr>
              <w:t>序号</w:t>
            </w:r>
          </w:p>
        </w:tc>
        <w:tc>
          <w:tcPr>
            <w:tcW w:w="558" w:type="dxa"/>
            <w:vAlign w:val="center"/>
          </w:tcPr>
          <w:p>
            <w:pPr>
              <w:pStyle w:val="6"/>
              <w:keepNext w:val="0"/>
              <w:keepLines w:val="0"/>
              <w:suppressLineNumbers w:val="0"/>
              <w:spacing w:before="60" w:beforeAutospacing="0" w:afterAutospacing="0"/>
              <w:ind w:left="52"/>
              <w:jc w:val="center"/>
              <w:rPr>
                <w:rFonts w:hint="eastAsia" w:ascii="黑体" w:eastAsia="黑体"/>
                <w:kern w:val="2"/>
                <w:sz w:val="24"/>
              </w:rPr>
            </w:pPr>
            <w:r>
              <w:rPr>
                <w:rFonts w:hint="eastAsia" w:ascii="黑体" w:eastAsia="黑体"/>
                <w:kern w:val="2"/>
                <w:sz w:val="24"/>
              </w:rPr>
              <w:t>职称</w:t>
            </w:r>
          </w:p>
          <w:p>
            <w:pPr>
              <w:pStyle w:val="6"/>
              <w:keepNext w:val="0"/>
              <w:keepLines w:val="0"/>
              <w:suppressLineNumbers w:val="0"/>
              <w:spacing w:before="94" w:beforeAutospacing="0" w:afterAutospacing="0"/>
              <w:ind w:left="52"/>
              <w:jc w:val="center"/>
              <w:rPr>
                <w:rFonts w:hint="eastAsia" w:ascii="黑体" w:eastAsia="黑体"/>
                <w:kern w:val="2"/>
                <w:sz w:val="24"/>
              </w:rPr>
            </w:pPr>
            <w:r>
              <w:rPr>
                <w:rFonts w:hint="eastAsia" w:ascii="黑体" w:eastAsia="黑体"/>
                <w:kern w:val="2"/>
                <w:sz w:val="24"/>
              </w:rPr>
              <w:t>系列</w:t>
            </w:r>
          </w:p>
        </w:tc>
        <w:tc>
          <w:tcPr>
            <w:tcW w:w="1017" w:type="dxa"/>
            <w:vAlign w:val="center"/>
          </w:tcPr>
          <w:p>
            <w:pPr>
              <w:pStyle w:val="6"/>
              <w:keepNext w:val="0"/>
              <w:keepLines w:val="0"/>
              <w:suppressLineNumbers w:val="0"/>
              <w:spacing w:before="60" w:beforeAutospacing="0" w:afterAutospacing="0"/>
              <w:ind w:left="33" w:right="24"/>
              <w:jc w:val="center"/>
              <w:rPr>
                <w:rFonts w:hint="eastAsia" w:ascii="黑体" w:eastAsia="黑体"/>
                <w:kern w:val="2"/>
                <w:sz w:val="24"/>
              </w:rPr>
            </w:pPr>
            <w:r>
              <w:rPr>
                <w:rFonts w:hint="eastAsia" w:ascii="黑体" w:eastAsia="黑体"/>
                <w:kern w:val="2"/>
                <w:sz w:val="24"/>
              </w:rPr>
              <w:t>职称专业类别</w:t>
            </w:r>
          </w:p>
        </w:tc>
        <w:tc>
          <w:tcPr>
            <w:tcW w:w="5145" w:type="dxa"/>
            <w:vAlign w:val="center"/>
          </w:tcPr>
          <w:p>
            <w:pPr>
              <w:pStyle w:val="6"/>
              <w:keepNext w:val="0"/>
              <w:keepLines w:val="0"/>
              <w:suppressLineNumbers w:val="0"/>
              <w:spacing w:before="5" w:beforeAutospacing="0" w:afterAutospacing="0"/>
              <w:jc w:val="center"/>
              <w:rPr>
                <w:rFonts w:hint="default"/>
                <w:kern w:val="2"/>
                <w:sz w:val="20"/>
              </w:rPr>
            </w:pPr>
          </w:p>
          <w:p>
            <w:pPr>
              <w:pStyle w:val="6"/>
              <w:keepNext w:val="0"/>
              <w:keepLines w:val="0"/>
              <w:suppressLineNumbers w:val="0"/>
              <w:spacing w:before="1" w:beforeAutospacing="0" w:afterAutospacing="0"/>
              <w:ind w:left="1491"/>
              <w:jc w:val="both"/>
              <w:rPr>
                <w:rFonts w:hint="eastAsia" w:ascii="黑体" w:eastAsia="黑体"/>
                <w:kern w:val="2"/>
                <w:sz w:val="24"/>
              </w:rPr>
            </w:pPr>
            <w:r>
              <w:rPr>
                <w:rFonts w:hint="eastAsia" w:ascii="黑体" w:eastAsia="黑体"/>
                <w:kern w:val="2"/>
                <w:sz w:val="24"/>
              </w:rPr>
              <w:t>技能类职业（工种）</w:t>
            </w:r>
          </w:p>
        </w:tc>
        <w:tc>
          <w:tcPr>
            <w:tcW w:w="1704" w:type="dxa"/>
            <w:vAlign w:val="center"/>
          </w:tcPr>
          <w:p>
            <w:pPr>
              <w:pStyle w:val="6"/>
              <w:keepNext w:val="0"/>
              <w:keepLines w:val="0"/>
              <w:suppressLineNumbers w:val="0"/>
              <w:spacing w:before="60" w:beforeAutospacing="0" w:afterAutospacing="0"/>
              <w:ind w:left="40" w:right="30"/>
              <w:jc w:val="center"/>
              <w:rPr>
                <w:rFonts w:hint="eastAsia" w:ascii="黑体" w:eastAsia="黑体"/>
                <w:kern w:val="2"/>
                <w:sz w:val="24"/>
              </w:rPr>
            </w:pPr>
            <w:r>
              <w:rPr>
                <w:rFonts w:hint="eastAsia" w:ascii="黑体" w:eastAsia="黑体"/>
                <w:kern w:val="2"/>
                <w:sz w:val="24"/>
              </w:rPr>
              <w:t>负责的职称</w:t>
            </w:r>
          </w:p>
          <w:p>
            <w:pPr>
              <w:pStyle w:val="6"/>
              <w:keepNext w:val="0"/>
              <w:keepLines w:val="0"/>
              <w:suppressLineNumbers w:val="0"/>
              <w:spacing w:before="60" w:beforeAutospacing="0" w:afterAutospacing="0"/>
              <w:ind w:left="40" w:right="30"/>
              <w:jc w:val="center"/>
              <w:rPr>
                <w:rFonts w:hint="eastAsia" w:ascii="黑体" w:eastAsia="黑体"/>
                <w:kern w:val="2"/>
                <w:sz w:val="24"/>
              </w:rPr>
            </w:pPr>
            <w:r>
              <w:rPr>
                <w:rFonts w:hint="eastAsia" w:ascii="黑体" w:eastAsia="黑体"/>
                <w:kern w:val="2"/>
                <w:sz w:val="24"/>
              </w:rPr>
              <w:t>评审委员会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2" w:hRule="atLeast"/>
        </w:trPr>
        <w:tc>
          <w:tcPr>
            <w:tcW w:w="533" w:type="dxa"/>
          </w:tcPr>
          <w:p>
            <w:pPr>
              <w:pStyle w:val="6"/>
              <w:keepNext w:val="0"/>
              <w:keepLines w:val="0"/>
              <w:suppressLineNumbers w:val="0"/>
              <w:spacing w:before="202" w:beforeAutospacing="0" w:afterAutospacing="0"/>
              <w:ind w:left="6"/>
              <w:jc w:val="center"/>
              <w:rPr>
                <w:rFonts w:hint="default"/>
                <w:kern w:val="2"/>
                <w:sz w:val="24"/>
              </w:rPr>
            </w:pPr>
          </w:p>
        </w:tc>
        <w:tc>
          <w:tcPr>
            <w:tcW w:w="558" w:type="dxa"/>
            <w:vAlign w:val="center"/>
          </w:tcPr>
          <w:p>
            <w:pPr>
              <w:pStyle w:val="6"/>
              <w:keepNext w:val="0"/>
              <w:keepLines w:val="0"/>
              <w:suppressLineNumbers w:val="0"/>
              <w:spacing w:beforeAutospacing="0" w:afterAutospacing="0" w:line="312" w:lineRule="auto"/>
              <w:ind w:left="52" w:right="40"/>
              <w:jc w:val="center"/>
              <w:rPr>
                <w:rFonts w:hint="eastAsia" w:ascii="仿宋_GB2312" w:hAnsi="仿宋_GB2312" w:eastAsia="仿宋_GB2312" w:cs="仿宋_GB2312"/>
                <w:kern w:val="2"/>
                <w:sz w:val="24"/>
                <w:lang w:eastAsia="zh-CN"/>
              </w:rPr>
            </w:pPr>
            <w:r>
              <w:rPr>
                <w:rFonts w:hint="eastAsia" w:ascii="仿宋_GB2312" w:hAnsi="仿宋_GB2312" w:eastAsia="仿宋_GB2312" w:cs="仿宋_GB2312"/>
                <w:kern w:val="2"/>
                <w:sz w:val="24"/>
                <w:lang w:eastAsia="zh-CN"/>
              </w:rPr>
              <w:t>工程技术人才</w:t>
            </w:r>
          </w:p>
        </w:tc>
        <w:tc>
          <w:tcPr>
            <w:tcW w:w="1017" w:type="dxa"/>
            <w:vAlign w:val="center"/>
          </w:tcPr>
          <w:p>
            <w:pPr>
              <w:pStyle w:val="6"/>
              <w:keepNext w:val="0"/>
              <w:keepLines w:val="0"/>
              <w:suppressLineNumbers w:val="0"/>
              <w:spacing w:beforeAutospacing="0" w:afterAutospacing="0"/>
              <w:jc w:val="left"/>
              <w:rPr>
                <w:rFonts w:hint="eastAsia" w:ascii="仿宋_GB2312" w:hAnsi="仿宋_GB2312" w:eastAsia="仿宋_GB2312" w:cs="仿宋_GB2312"/>
                <w:kern w:val="2"/>
                <w:sz w:val="24"/>
                <w:lang w:eastAsia="zh-CN"/>
              </w:rPr>
            </w:pPr>
            <w:r>
              <w:rPr>
                <w:rFonts w:hint="eastAsia" w:ascii="仿宋_GB2312" w:hAnsi="仿宋_GB2312" w:eastAsia="仿宋_GB2312" w:cs="仿宋_GB2312"/>
                <w:kern w:val="2"/>
                <w:sz w:val="24"/>
                <w:lang w:eastAsia="zh-CN"/>
              </w:rPr>
              <w:t>石油化工</w:t>
            </w:r>
          </w:p>
        </w:tc>
        <w:tc>
          <w:tcPr>
            <w:tcW w:w="5145" w:type="dxa"/>
            <w:vAlign w:val="center"/>
          </w:tcPr>
          <w:p>
            <w:pPr>
              <w:keepNext w:val="0"/>
              <w:keepLines w:val="0"/>
              <w:widowControl/>
              <w:suppressLineNumbers w:val="0"/>
              <w:spacing w:beforeAutospacing="0" w:afterAutospacing="0"/>
              <w:jc w:val="left"/>
              <w:rPr>
                <w:rFonts w:hint="default"/>
                <w:kern w:val="2"/>
                <w:sz w:val="30"/>
                <w:szCs w:val="30"/>
              </w:rPr>
            </w:pPr>
            <w:r>
              <w:rPr>
                <w:rFonts w:hint="default" w:ascii="仿宋_GB2312" w:hAnsi="宋体" w:eastAsia="仿宋_GB2312" w:cs="仿宋_GB2312"/>
                <w:color w:val="000000"/>
                <w:kern w:val="0"/>
                <w:sz w:val="30"/>
                <w:szCs w:val="30"/>
                <w:lang w:val="en-US" w:eastAsia="zh-CN" w:bidi="ar"/>
              </w:rPr>
              <w:t>无机化学反应生产工、有机合成工、化工总控工、</w:t>
            </w:r>
            <w:r>
              <w:rPr>
                <w:rFonts w:hint="eastAsia" w:ascii="仿宋_GB2312" w:hAnsi="宋体" w:eastAsia="仿宋_GB2312" w:cs="仿宋_GB2312"/>
                <w:color w:val="000000"/>
                <w:kern w:val="0"/>
                <w:sz w:val="30"/>
                <w:szCs w:val="30"/>
                <w:lang w:val="en-US" w:eastAsia="zh-CN" w:bidi="ar"/>
              </w:rPr>
              <w:t>工业固体废物处理处置工、涂料生产工、染料生产工、农药生产工、合成氨生产工、尿素生产工、硫酸生产工、硝酸生产工、纯碱生产工、烧碱生产工、防腐蚀工、制冷工、水生产处理工、工业废水处理工、工业气体生产工、工业废气治理工、压缩机操作工等职业（工种）</w:t>
            </w:r>
          </w:p>
          <w:p>
            <w:pPr>
              <w:pStyle w:val="6"/>
              <w:keepNext w:val="0"/>
              <w:keepLines w:val="0"/>
              <w:suppressLineNumbers w:val="0"/>
              <w:spacing w:before="2" w:beforeAutospacing="0" w:afterAutospacing="0"/>
              <w:ind w:left="15"/>
              <w:jc w:val="center"/>
              <w:rPr>
                <w:rFonts w:hint="default"/>
                <w:kern w:val="2"/>
                <w:sz w:val="24"/>
              </w:rPr>
            </w:pPr>
          </w:p>
        </w:tc>
        <w:tc>
          <w:tcPr>
            <w:tcW w:w="1704" w:type="dxa"/>
            <w:vAlign w:val="center"/>
          </w:tcPr>
          <w:p>
            <w:pPr>
              <w:pStyle w:val="6"/>
              <w:keepNext w:val="0"/>
              <w:keepLines w:val="0"/>
              <w:suppressLineNumbers w:val="0"/>
              <w:spacing w:before="94" w:beforeAutospacing="0" w:afterAutospacing="0" w:line="240" w:lineRule="auto"/>
              <w:ind w:left="0" w:leftChars="0" w:right="47" w:firstLine="60" w:firstLineChars="0"/>
              <w:jc w:val="left"/>
              <w:rPr>
                <w:rFonts w:hint="eastAsia" w:eastAsia="宋体"/>
                <w:kern w:val="2"/>
                <w:sz w:val="24"/>
                <w:lang w:eastAsia="zh-CN"/>
              </w:rPr>
            </w:pPr>
            <w:r>
              <w:rPr>
                <w:rFonts w:hint="eastAsia" w:ascii="仿宋_GB2312" w:hAnsi="仿宋_GB2312" w:eastAsia="仿宋_GB2312" w:cs="仿宋_GB2312"/>
                <w:kern w:val="2"/>
                <w:sz w:val="28"/>
                <w:szCs w:val="28"/>
                <w:lang w:eastAsia="zh-CN"/>
              </w:rPr>
              <w:t>广东省工程系列石油和化工专业高级职称评审委员会</w:t>
            </w:r>
          </w:p>
        </w:tc>
      </w:tr>
    </w:tbl>
    <w:p>
      <w:pPr>
        <w:pStyle w:val="3"/>
        <w:spacing w:before="8"/>
        <w:rPr>
          <w:rFonts w:ascii="Times New Roman"/>
          <w:sz w:val="24"/>
        </w:rPr>
      </w:pPr>
    </w:p>
    <w:p>
      <w:pPr>
        <w:spacing w:before="74" w:line="264" w:lineRule="auto"/>
        <w:ind w:left="386" w:right="393" w:firstLine="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注：  指导目录中所列技能类职业包括国家职业分类大典或国家职业技能标准下列的工种。</w:t>
      </w:r>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职业技能等级分为5级：</w:t>
      </w:r>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5级（初级）（初级工）</w:t>
      </w:r>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4级（中级）（中级工）</w:t>
      </w:r>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3级（高级）（高级工）（贯通可申报初级职称）</w:t>
      </w:r>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2级（技师）（贯通可申报中级职称）</w:t>
      </w:r>
      <w:bookmarkStart w:id="0" w:name="_GoBack"/>
      <w:bookmarkEnd w:id="0"/>
    </w:p>
    <w:p>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24"/>
          <w:szCs w:val="24"/>
          <w:lang w:val="en-US" w:eastAsia="zh-CN" w:bidi="ar"/>
        </w:rPr>
        <w:t>1级（高级技师）（贯通可申报高级职称）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C33BC"/>
    <w:rsid w:val="12467BF2"/>
    <w:rsid w:val="231C33BC"/>
    <w:rsid w:val="3AA13244"/>
    <w:rsid w:val="3D48199A"/>
    <w:rsid w:val="44C85896"/>
    <w:rsid w:val="50D073A2"/>
    <w:rsid w:val="6E666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7"/>
      <w:ind w:left="407" w:right="414"/>
      <w:jc w:val="center"/>
      <w:outlineLvl w:val="1"/>
    </w:pPr>
    <w:rPr>
      <w:rFonts w:ascii="宋体" w:hAnsi="宋体" w:eastAsia="宋体" w:cs="宋体"/>
      <w:sz w:val="40"/>
      <w:szCs w:val="40"/>
      <w:lang w:val="zh-CN" w:eastAsia="zh-CN" w:bidi="zh-CN"/>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 w:type="paragraph" w:customStyle="1" w:styleId="6">
    <w:name w:val="Table Paragraph"/>
    <w:basedOn w:val="1"/>
    <w:qFormat/>
    <w:uiPriority w:val="1"/>
    <w:rPr>
      <w:rFonts w:ascii="宋体" w:hAnsi="宋体" w:eastAsia="宋体" w:cs="宋体"/>
      <w:lang w:val="zh-CN" w:eastAsia="zh-CN" w:bidi="zh-CN"/>
    </w:rPr>
  </w:style>
  <w:style w:type="paragraph" w:styleId="7">
    <w:name w:val="List Paragraph"/>
    <w:basedOn w:val="1"/>
    <w:qFormat/>
    <w:uiPriority w:val="1"/>
    <w:pPr>
      <w:ind w:left="386" w:right="391" w:firstLine="64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2022-04-14T01:06:00Z</dcterms:created>
  <dc:creator>Administrator</dc:creator>
  <cp:lastModifiedBy>Administrator</cp:lastModifiedBy>
  <dcterms:modified xsi:type="dcterms:W3CDTF">2022-11-23T00:26:56Z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