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Override PartName="/word/theme/themeOverride8.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88E8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44"/>
          <w:szCs w:val="44"/>
          <w:lang w:val="en-US" w:eastAsia="zh-CN" w:bidi="ar-SA"/>
        </w:rPr>
      </w:pPr>
    </w:p>
    <w:p w14:paraId="1A17106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44"/>
          <w:szCs w:val="44"/>
          <w:lang w:val="en-US" w:eastAsia="zh-CN" w:bidi="ar-SA"/>
        </w:rPr>
      </w:pPr>
    </w:p>
    <w:p w14:paraId="2A78F4B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44"/>
          <w:szCs w:val="44"/>
          <w:lang w:val="en-US" w:eastAsia="zh-CN" w:bidi="ar-SA"/>
        </w:rPr>
      </w:pPr>
    </w:p>
    <w:p w14:paraId="22A52B6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44"/>
          <w:szCs w:val="44"/>
          <w:lang w:val="en-US" w:eastAsia="zh-CN" w:bidi="ar-SA"/>
        </w:rPr>
      </w:pPr>
    </w:p>
    <w:p w14:paraId="3A3205B4">
      <w:pPr>
        <w:keepNext w:val="0"/>
        <w:keepLines w:val="0"/>
        <w:pageBreakBefore w:val="0"/>
        <w:widowControl w:val="0"/>
        <w:kinsoku/>
        <w:wordWrap/>
        <w:overflowPunct/>
        <w:topLinePunct w:val="0"/>
        <w:autoSpaceDE/>
        <w:autoSpaceDN/>
        <w:bidi w:val="0"/>
        <w:snapToGrid w:val="0"/>
        <w:spacing w:line="360" w:lineRule="auto"/>
        <w:jc w:val="center"/>
        <w:textAlignment w:val="auto"/>
        <w:outlineLvl w:val="0"/>
        <w:rPr>
          <w:rFonts w:hint="eastAsia" w:ascii="Times New Roman" w:hAnsi="Times New Roman" w:eastAsia="黑体" w:cs="Times New Roman"/>
          <w:b/>
          <w:color w:val="auto"/>
          <w:kern w:val="0"/>
          <w:sz w:val="44"/>
          <w:szCs w:val="44"/>
          <w:lang w:val="en-US" w:eastAsia="zh-CN" w:bidi="ar-SA"/>
        </w:rPr>
      </w:pPr>
      <w:r>
        <w:rPr>
          <w:rFonts w:hint="eastAsia" w:ascii="Times New Roman" w:hAnsi="Times New Roman" w:eastAsia="黑体" w:cs="Times New Roman"/>
          <w:b w:val="0"/>
          <w:bCs/>
          <w:color w:val="auto"/>
          <w:kern w:val="0"/>
          <w:sz w:val="44"/>
          <w:szCs w:val="44"/>
          <w:lang w:val="en-US" w:eastAsia="zh-CN" w:bidi="ar-SA"/>
        </w:rPr>
        <w:t>聚苯乙烯单位产品能耗和碳排放限额</w:t>
      </w:r>
    </w:p>
    <w:p w14:paraId="6B197C3D">
      <w:pPr>
        <w:keepNext w:val="0"/>
        <w:keepLines w:val="0"/>
        <w:pageBreakBefore w:val="0"/>
        <w:widowControl w:val="0"/>
        <w:kinsoku/>
        <w:wordWrap/>
        <w:overflowPunct/>
        <w:topLinePunct w:val="0"/>
        <w:autoSpaceDE/>
        <w:autoSpaceDN/>
        <w:bidi w:val="0"/>
        <w:snapToGrid w:val="0"/>
        <w:spacing w:line="360" w:lineRule="auto"/>
        <w:jc w:val="center"/>
        <w:textAlignment w:val="auto"/>
        <w:outlineLvl w:val="0"/>
        <w:rPr>
          <w:rFonts w:hint="eastAsia" w:ascii="Times New Roman" w:hAnsi="Times New Roman" w:eastAsia="黑体" w:cs="Times New Roman"/>
          <w:b/>
          <w:color w:val="auto"/>
          <w:kern w:val="0"/>
          <w:sz w:val="52"/>
          <w:szCs w:val="52"/>
          <w:lang w:val="en-US" w:eastAsia="zh-CN" w:bidi="ar-SA"/>
        </w:rPr>
      </w:pPr>
      <w:r>
        <w:rPr>
          <w:rFonts w:hint="eastAsia" w:ascii="Times New Roman" w:hAnsi="Times New Roman" w:eastAsia="黑体" w:cs="Times New Roman"/>
          <w:b/>
          <w:color w:val="auto"/>
          <w:kern w:val="0"/>
          <w:sz w:val="52"/>
          <w:szCs w:val="52"/>
          <w:lang w:val="en-US" w:eastAsia="zh-CN" w:bidi="ar-SA"/>
        </w:rPr>
        <w:t>团体标准编制说明</w:t>
      </w:r>
    </w:p>
    <w:p w14:paraId="37F628A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52"/>
          <w:szCs w:val="52"/>
          <w:lang w:val="en-US" w:eastAsia="zh-CN" w:bidi="ar-SA"/>
        </w:rPr>
      </w:pPr>
    </w:p>
    <w:p w14:paraId="43ABA02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52"/>
          <w:szCs w:val="52"/>
          <w:lang w:val="en-US" w:eastAsia="zh-CN" w:bidi="ar-SA"/>
        </w:rPr>
      </w:pPr>
    </w:p>
    <w:p w14:paraId="0DDCD27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52"/>
          <w:szCs w:val="52"/>
          <w:lang w:val="en-US" w:eastAsia="zh-CN" w:bidi="ar-SA"/>
        </w:rPr>
      </w:pPr>
    </w:p>
    <w:p w14:paraId="2510AE9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52"/>
          <w:szCs w:val="52"/>
          <w:lang w:val="en-US" w:eastAsia="zh-CN" w:bidi="ar-SA"/>
        </w:rPr>
      </w:pPr>
    </w:p>
    <w:p w14:paraId="5752AA9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52"/>
          <w:szCs w:val="52"/>
          <w:lang w:val="en-US" w:eastAsia="zh-CN" w:bidi="ar-SA"/>
        </w:rPr>
      </w:pPr>
    </w:p>
    <w:p w14:paraId="096E9C7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52"/>
          <w:szCs w:val="52"/>
          <w:lang w:val="en-US" w:eastAsia="zh-CN" w:bidi="ar-SA"/>
        </w:rPr>
      </w:pPr>
    </w:p>
    <w:p w14:paraId="22A7F22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52"/>
          <w:szCs w:val="52"/>
          <w:lang w:val="en-US" w:eastAsia="zh-CN" w:bidi="ar-SA"/>
        </w:rPr>
      </w:pPr>
    </w:p>
    <w:p w14:paraId="7C3D7DF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52"/>
          <w:szCs w:val="52"/>
          <w:lang w:val="en-US" w:eastAsia="zh-CN" w:bidi="ar-SA"/>
        </w:rPr>
      </w:pPr>
    </w:p>
    <w:p w14:paraId="20C1CF8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52"/>
          <w:szCs w:val="52"/>
          <w:lang w:val="en-US" w:eastAsia="zh-CN" w:bidi="ar-SA"/>
        </w:rPr>
      </w:pPr>
    </w:p>
    <w:p w14:paraId="04C4670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52"/>
          <w:szCs w:val="52"/>
          <w:lang w:val="en-US" w:eastAsia="zh-CN" w:bidi="ar-SA"/>
        </w:rPr>
      </w:pPr>
    </w:p>
    <w:p w14:paraId="0D854B6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Times New Roman" w:hAnsi="Times New Roman" w:eastAsia="黑体" w:cs="Times New Roman"/>
          <w:b/>
          <w:color w:val="auto"/>
          <w:kern w:val="0"/>
          <w:sz w:val="32"/>
          <w:szCs w:val="32"/>
          <w:lang w:val="en-US" w:eastAsia="zh-CN" w:bidi="ar-SA"/>
        </w:rPr>
      </w:pPr>
    </w:p>
    <w:p w14:paraId="31D0E3D3">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标准起草小组编制</w:t>
      </w:r>
    </w:p>
    <w:p w14:paraId="3DACFF3A">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Times New Roman" w:hAnsi="Times New Roman" w:eastAsia="黑体" w:cs="Times New Roman"/>
          <w:b/>
          <w:color w:val="auto"/>
          <w:kern w:val="0"/>
          <w:sz w:val="32"/>
          <w:szCs w:val="32"/>
          <w:lang w:val="en-US" w:eastAsia="zh-CN" w:bidi="ar-SA"/>
        </w:rPr>
        <w:sectPr>
          <w:pgSz w:w="11906" w:h="16838"/>
          <w:pgMar w:top="1440" w:right="1800" w:bottom="1440" w:left="1800" w:header="851" w:footer="992" w:gutter="0"/>
          <w:cols w:space="425" w:num="1"/>
          <w:docGrid w:type="lines" w:linePitch="312" w:charSpace="0"/>
        </w:sectPr>
      </w:pPr>
      <w:r>
        <w:rPr>
          <w:rFonts w:hint="eastAsia" w:ascii="Times New Roman" w:hAnsi="Times New Roman" w:eastAsia="黑体" w:cs="Times New Roman"/>
          <w:b/>
          <w:color w:val="auto"/>
          <w:kern w:val="0"/>
          <w:sz w:val="32"/>
          <w:szCs w:val="32"/>
          <w:lang w:val="en-US" w:eastAsia="zh-CN" w:bidi="ar-SA"/>
        </w:rPr>
        <w:t>二〇二六年七月</w:t>
      </w:r>
    </w:p>
    <w:p w14:paraId="18091EAE">
      <w:pPr>
        <w:keepNext w:val="0"/>
        <w:keepLines w:val="0"/>
        <w:pageBreakBefore w:val="0"/>
        <w:widowControl w:val="0"/>
        <w:kinsoku/>
        <w:wordWrap/>
        <w:overflowPunct/>
        <w:topLinePunct w:val="0"/>
        <w:autoSpaceDE/>
        <w:autoSpaceDN/>
        <w:bidi w:val="0"/>
        <w:snapToGrid w:val="0"/>
        <w:spacing w:line="360" w:lineRule="auto"/>
        <w:ind w:firstLine="643" w:firstLineChars="200"/>
        <w:jc w:val="both"/>
        <w:textAlignment w:val="auto"/>
        <w:outlineLvl w:val="0"/>
        <w:rPr>
          <w:rFonts w:hint="eastAsia"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一、目的和意义</w:t>
      </w:r>
    </w:p>
    <w:p w14:paraId="13526768">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jc w:val="left"/>
        <w:textAlignment w:val="auto"/>
        <w:rPr>
          <w:rFonts w:hint="eastAsia"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2021年以来，国家发展改革委、市场监管总局等部门积极推动强制性能耗限额标准更新升级，多次组织召开相关标准推进工作会议。全国能源基础与管理标准化技术委员会秘书处依托中国标准化研究院资源与环境分院，将进一步加大工作力度，以国际领跑水平为对标基准，加快制修订科学先进的系列能耗限额标准，助力节能降碳目标落地。</w:t>
      </w:r>
    </w:p>
    <w:p w14:paraId="4D77C58B">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jc w:val="left"/>
        <w:textAlignment w:val="auto"/>
        <w:rPr>
          <w:rFonts w:hint="eastAsia"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当前我国及地方层面尚未出台统一、规范的聚苯乙烯装置单位产品能耗限额与碳排放限额标准，不同工艺路线、不同规模企业的能耗与排放水平差异较大，缺乏统一核算口径、评价标尺与管控依据，难以满足新建项目节能审查、节能监察、碳足迹核算及绿色低碳监管的实际需求，制约行业绿色化、集约化、高质量发展。</w:t>
      </w:r>
    </w:p>
    <w:p w14:paraId="5FAA51F4">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jc w:val="left"/>
        <w:textAlignment w:val="auto"/>
        <w:rPr>
          <w:rFonts w:hint="eastAsia"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立足我国聚苯乙烯产业发展实际与“双碳”目标全局，本标准严格落实国家关于制修订能耗限额标准的部署要求，主动适配能耗双控向碳排放双控全面转型的政策导向，填补行业能耗与碳排放协同管控的标准空白，构建科学统一、可落地的管控体系，旨在实现三大核心目标。当前，国家正加快推进能耗限额标准更新升级，抓紧修订重点行业能耗限额强制性国家标准，扩大标准覆盖范围、提升管控要求；同时，按照《加快构建碳排放双控制度体系工作方案》部署，推动能耗双控向碳排放总量和强度双控转变。本标准的制定既是响应上述两项核心政策的具体实践，也是完善化工行业能耗限额标准体系的重要举措，更是衔接碳双控制度、推动行业低碳转型的关键抓手。通过规范行业能耗与碳排放管控，契合国家能耗限额标准修订“提升要求、规范核算”的核心导向，落实能耗双控转碳双控“科学精准管控、重点控制化石能源消费”的要求，明确聚苯乙烯生产单位产品能耗和碳排放的限定值、准入值及国际先进水平分级标准，为企业生产划定清晰的“绿色底线”与“提升标杆”，解决当前行业能耗水平参差不齐、碳排放核算不规范、管控缺乏统一依据等问题，推动行业从“规模扩张”向“质量效益+绿色低碳”转型。</w:t>
      </w:r>
    </w:p>
    <w:p w14:paraId="22D9394A">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jc w:val="left"/>
        <w:textAlignment w:val="auto"/>
        <w:rPr>
          <w:rFonts w:hint="eastAsia" w:eastAsiaTheme="minorEastAsia"/>
          <w:color w:val="auto"/>
          <w:lang w:eastAsia="zh-CN"/>
        </w:rPr>
      </w:pPr>
      <w:r>
        <w:rPr>
          <w:rFonts w:hint="eastAsia" w:ascii="仿宋" w:hAnsi="仿宋" w:eastAsia="仿宋" w:cs="仿宋"/>
          <w:b w:val="0"/>
          <w:bCs/>
          <w:color w:val="auto"/>
          <w:kern w:val="0"/>
          <w:sz w:val="30"/>
          <w:szCs w:val="30"/>
          <w:lang w:val="en-US" w:eastAsia="zh-CN" w:bidi="ar-SA"/>
        </w:rPr>
        <w:t>衔接国家“双碳”顶层设计，精准落实加强能耗限额标准制修订及能耗双控转碳双控的核心政策，将聚苯乙烯行业纳入全国能耗与碳排放双控制度体系，细化石化化工行业碳达峰实施方案的具体要求，确保行业碳达峰目标可量化、可考核、可实现，助力2030年前碳达峰、2060年前碳中和总体目标落地。同时，本标准助力完善石化化工行业标准体系，填补聚苯乙烯产品能耗与碳排放协同管控的标准空白，与《单位产品能源消耗限额编制通则》《工业企业温室气体排放核算和报告通则》等国家标准相衔接，形成“基础通则+行业专项”的完整标准体系，为政府监管提供科学依据，强化节能监察和执法的针对性，推动政策落地见效，助力政府实现能耗双控向碳双控的平稳转型，规范重点用能和碳排放单位管理。因此，制定《聚苯乙烯单位产品能耗和碳排放限额》具有重要的现实意义与必要性。</w:t>
      </w:r>
    </w:p>
    <w:p w14:paraId="3043058D">
      <w:pPr>
        <w:keepNext w:val="0"/>
        <w:keepLines w:val="0"/>
        <w:pageBreakBefore w:val="0"/>
        <w:widowControl w:val="0"/>
        <w:kinsoku/>
        <w:wordWrap/>
        <w:overflowPunct/>
        <w:topLinePunct w:val="0"/>
        <w:autoSpaceDE/>
        <w:autoSpaceDN/>
        <w:bidi w:val="0"/>
        <w:snapToGrid w:val="0"/>
        <w:spacing w:line="360" w:lineRule="auto"/>
        <w:ind w:firstLine="643" w:firstLineChars="200"/>
        <w:jc w:val="both"/>
        <w:textAlignment w:val="auto"/>
        <w:outlineLvl w:val="0"/>
        <w:rPr>
          <w:rFonts w:hint="default"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二、任务来源</w:t>
      </w:r>
    </w:p>
    <w:p w14:paraId="014CA858">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jc w:val="left"/>
        <w:textAlignment w:val="auto"/>
        <w:rPr>
          <w:rFonts w:hint="eastAsia"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本标准的制订由广东省能源局提出，2026年1月7日，广东省石油和化学工业协会发布了《关于批准广东省石油和化学工业协会团体标准制订计划项目（第七批）的通知》（粤石化协〔2026〕2号），批准该团体标准的立项。</w:t>
      </w:r>
    </w:p>
    <w:p w14:paraId="5CCB45F4">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jc w:val="left"/>
        <w:textAlignment w:val="auto"/>
        <w:rPr>
          <w:rFonts w:hint="default"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发起单位：广东省能源局。</w:t>
      </w:r>
    </w:p>
    <w:p w14:paraId="7BBC795E">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jc w:val="left"/>
        <w:textAlignment w:val="auto"/>
        <w:rPr>
          <w:rFonts w:hint="eastAsia"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归口单位：广东省石油和化学工业协会。</w:t>
      </w:r>
    </w:p>
    <w:p w14:paraId="41953990">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jc w:val="left"/>
        <w:textAlignment w:val="auto"/>
        <w:rPr>
          <w:rFonts w:hint="default"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牵头单位：广东信怡工程咨询有限公司。</w:t>
      </w:r>
    </w:p>
    <w:p w14:paraId="32C2FEDF">
      <w:pPr>
        <w:keepNext w:val="0"/>
        <w:keepLines w:val="0"/>
        <w:pageBreakBefore w:val="0"/>
        <w:widowControl w:val="0"/>
        <w:kinsoku/>
        <w:wordWrap/>
        <w:overflowPunct/>
        <w:topLinePunct w:val="0"/>
        <w:autoSpaceDE/>
        <w:autoSpaceDN/>
        <w:bidi w:val="0"/>
        <w:snapToGrid w:val="0"/>
        <w:spacing w:line="360" w:lineRule="auto"/>
        <w:ind w:firstLine="643" w:firstLineChars="200"/>
        <w:jc w:val="both"/>
        <w:textAlignment w:val="auto"/>
        <w:outlineLvl w:val="0"/>
        <w:rPr>
          <w:rFonts w:hint="default" w:ascii="Times New Roman" w:hAnsi="Times New Roman" w:eastAsia="黑体" w:cs="Times New Roman"/>
          <w:b/>
          <w:color w:val="auto"/>
          <w:kern w:val="0"/>
          <w:sz w:val="32"/>
          <w:szCs w:val="32"/>
          <w:lang w:val="en-US" w:eastAsia="zh-CN" w:bidi="ar-SA"/>
        </w:rPr>
      </w:pPr>
      <w:r>
        <w:rPr>
          <w:rFonts w:hint="default" w:ascii="Times New Roman" w:hAnsi="Times New Roman" w:eastAsia="黑体" w:cs="Times New Roman"/>
          <w:b/>
          <w:color w:val="auto"/>
          <w:kern w:val="0"/>
          <w:sz w:val="32"/>
          <w:szCs w:val="32"/>
          <w:lang w:val="en-US" w:eastAsia="zh-CN" w:bidi="ar-SA"/>
        </w:rPr>
        <w:t>三、相关标准及</w:t>
      </w:r>
      <w:r>
        <w:rPr>
          <w:rFonts w:hint="eastAsia" w:ascii="Times New Roman" w:hAnsi="Times New Roman" w:eastAsia="黑体" w:cs="Times New Roman"/>
          <w:b/>
          <w:color w:val="auto"/>
          <w:kern w:val="0"/>
          <w:sz w:val="32"/>
          <w:szCs w:val="32"/>
          <w:lang w:val="en-US" w:eastAsia="zh-CN" w:bidi="ar-SA"/>
        </w:rPr>
        <w:t>引用文件</w:t>
      </w:r>
    </w:p>
    <w:p w14:paraId="1448FC09">
      <w:pPr>
        <w:pStyle w:val="2"/>
        <w:keepNext w:val="0"/>
        <w:keepLines w:val="0"/>
        <w:pageBreakBefore w:val="0"/>
        <w:widowControl w:val="0"/>
        <w:kinsoku/>
        <w:wordWrap/>
        <w:overflowPunct/>
        <w:topLinePunct w:val="0"/>
        <w:autoSpaceDE/>
        <w:autoSpaceDN/>
        <w:bidi w:val="0"/>
        <w:adjustRightInd/>
        <w:snapToGrid w:val="0"/>
        <w:spacing w:line="360" w:lineRule="auto"/>
        <w:ind w:firstLine="560"/>
        <w:textAlignment w:val="auto"/>
        <w:outlineLvl w:val="1"/>
        <w:rPr>
          <w:rFonts w:hint="eastAsia" w:ascii="楷体" w:hAnsi="楷体" w:eastAsia="楷体" w:cs="楷体"/>
          <w:b/>
          <w:bCs w:val="0"/>
          <w:color w:val="auto"/>
          <w:kern w:val="0"/>
          <w:sz w:val="32"/>
          <w:szCs w:val="32"/>
          <w:lang w:val="en-US" w:eastAsia="zh-CN" w:bidi="ar-SA"/>
        </w:rPr>
      </w:pPr>
      <w:r>
        <w:rPr>
          <w:rFonts w:hint="eastAsia" w:ascii="楷体" w:hAnsi="楷体" w:eastAsia="楷体" w:cs="楷体"/>
          <w:b/>
          <w:bCs w:val="0"/>
          <w:color w:val="auto"/>
          <w:kern w:val="0"/>
          <w:sz w:val="32"/>
          <w:szCs w:val="32"/>
          <w:lang w:val="en-US" w:eastAsia="zh-CN" w:bidi="ar-SA"/>
        </w:rPr>
        <w:t>（一）相关标准</w:t>
      </w:r>
    </w:p>
    <w:p w14:paraId="1C5E8253">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jc w:val="left"/>
        <w:textAlignment w:val="auto"/>
        <w:rPr>
          <w:rFonts w:hint="default" w:ascii="仿宋" w:hAnsi="仿宋" w:eastAsia="仿宋" w:cs="仿宋"/>
          <w:b w:val="0"/>
          <w:bCs/>
          <w:color w:val="auto"/>
          <w:kern w:val="0"/>
          <w:sz w:val="30"/>
          <w:szCs w:val="30"/>
          <w:lang w:val="en-US" w:eastAsia="zh-CN" w:bidi="ar-SA"/>
        </w:rPr>
      </w:pPr>
      <w:r>
        <w:rPr>
          <w:rFonts w:hint="default" w:ascii="仿宋" w:hAnsi="仿宋" w:eastAsia="仿宋" w:cs="仿宋"/>
          <w:b w:val="0"/>
          <w:bCs/>
          <w:color w:val="auto"/>
          <w:kern w:val="0"/>
          <w:sz w:val="30"/>
          <w:szCs w:val="30"/>
          <w:lang w:val="en-US" w:eastAsia="zh-CN" w:bidi="ar-SA"/>
        </w:rPr>
        <w:t>截至标准工作开展前，国家</w:t>
      </w:r>
      <w:r>
        <w:rPr>
          <w:rFonts w:hint="eastAsia" w:ascii="仿宋" w:hAnsi="仿宋" w:eastAsia="仿宋" w:cs="仿宋"/>
          <w:b w:val="0"/>
          <w:bCs/>
          <w:color w:val="auto"/>
          <w:kern w:val="0"/>
          <w:sz w:val="30"/>
          <w:szCs w:val="30"/>
          <w:lang w:val="en-US" w:eastAsia="zh-CN" w:bidi="ar-SA"/>
        </w:rPr>
        <w:t>、地市均</w:t>
      </w:r>
      <w:r>
        <w:rPr>
          <w:rFonts w:hint="default" w:ascii="仿宋" w:hAnsi="仿宋" w:eastAsia="仿宋" w:cs="仿宋"/>
          <w:b w:val="0"/>
          <w:bCs/>
          <w:color w:val="auto"/>
          <w:kern w:val="0"/>
          <w:sz w:val="30"/>
          <w:szCs w:val="30"/>
          <w:lang w:val="en-US" w:eastAsia="zh-CN" w:bidi="ar-SA"/>
        </w:rPr>
        <w:t>未制定</w:t>
      </w:r>
      <w:r>
        <w:rPr>
          <w:rFonts w:hint="eastAsia" w:ascii="仿宋" w:hAnsi="仿宋" w:eastAsia="仿宋" w:cs="仿宋"/>
          <w:b w:val="0"/>
          <w:bCs/>
          <w:color w:val="auto"/>
          <w:kern w:val="0"/>
          <w:sz w:val="30"/>
          <w:szCs w:val="30"/>
          <w:lang w:val="en-US" w:eastAsia="zh-CN" w:bidi="ar-SA"/>
        </w:rPr>
        <w:t>聚苯乙烯装置</w:t>
      </w:r>
      <w:r>
        <w:rPr>
          <w:rFonts w:hint="default" w:ascii="仿宋" w:hAnsi="仿宋" w:eastAsia="仿宋" w:cs="仿宋"/>
          <w:b w:val="0"/>
          <w:bCs/>
          <w:color w:val="auto"/>
          <w:kern w:val="0"/>
          <w:sz w:val="30"/>
          <w:szCs w:val="30"/>
          <w:lang w:val="en-US" w:eastAsia="zh-CN" w:bidi="ar-SA"/>
        </w:rPr>
        <w:t>的能耗标准。</w:t>
      </w:r>
    </w:p>
    <w:p w14:paraId="52847E9C">
      <w:pPr>
        <w:pStyle w:val="2"/>
        <w:keepNext w:val="0"/>
        <w:keepLines w:val="0"/>
        <w:pageBreakBefore w:val="0"/>
        <w:widowControl w:val="0"/>
        <w:kinsoku/>
        <w:wordWrap/>
        <w:overflowPunct/>
        <w:topLinePunct w:val="0"/>
        <w:autoSpaceDE/>
        <w:autoSpaceDN/>
        <w:bidi w:val="0"/>
        <w:adjustRightInd/>
        <w:snapToGrid w:val="0"/>
        <w:spacing w:line="360" w:lineRule="auto"/>
        <w:ind w:firstLine="560"/>
        <w:textAlignment w:val="auto"/>
        <w:rPr>
          <w:rFonts w:hint="default" w:ascii="仿宋" w:hAnsi="仿宋" w:eastAsia="仿宋" w:cs="仿宋"/>
          <w:b w:val="0"/>
          <w:bCs/>
          <w:color w:val="auto"/>
          <w:kern w:val="0"/>
          <w:sz w:val="30"/>
          <w:szCs w:val="30"/>
          <w:lang w:val="en-US" w:eastAsia="zh-CN" w:bidi="ar-SA"/>
        </w:rPr>
      </w:pPr>
      <w:r>
        <w:rPr>
          <w:rFonts w:hint="eastAsia" w:ascii="仿宋" w:hAnsi="仿宋" w:eastAsia="仿宋" w:cs="仿宋"/>
          <w:b w:val="0"/>
          <w:bCs/>
          <w:color w:val="auto"/>
          <w:kern w:val="0"/>
          <w:sz w:val="30"/>
          <w:szCs w:val="30"/>
          <w:lang w:val="en-US" w:eastAsia="zh-CN" w:bidi="ar-SA"/>
        </w:rPr>
        <w:t>国家工信部发布的行业标准</w:t>
      </w:r>
      <w:r>
        <w:rPr>
          <w:rFonts w:hint="default" w:ascii="仿宋" w:hAnsi="仿宋" w:eastAsia="仿宋" w:cs="仿宋"/>
          <w:b w:val="0"/>
          <w:bCs/>
          <w:color w:val="auto"/>
          <w:kern w:val="0"/>
          <w:sz w:val="30"/>
          <w:szCs w:val="30"/>
          <w:lang w:val="en-US" w:eastAsia="zh-CN" w:bidi="ar-SA"/>
        </w:rPr>
        <w:t>《绿色设计产品评价技术规范 聚苯乙烯树脂》（HG∕T 5869-2021）</w:t>
      </w:r>
      <w:r>
        <w:rPr>
          <w:rFonts w:hint="eastAsia" w:ascii="仿宋" w:hAnsi="仿宋" w:eastAsia="仿宋" w:cs="仿宋"/>
          <w:b w:val="0"/>
          <w:bCs/>
          <w:color w:val="auto"/>
          <w:kern w:val="0"/>
          <w:sz w:val="30"/>
          <w:szCs w:val="30"/>
          <w:lang w:val="en-US" w:eastAsia="zh-CN" w:bidi="ar-SA"/>
        </w:rPr>
        <w:t>中，对通用级聚苯乙烯和可发性聚苯乙烯树脂绿色产品的评价指标要求单位产品综合能耗分别≤50kgce/t和≤33kgce/t。从目前全国节能批复的项目以及广东省内现有的聚苯乙烯装置生产情况看，HG∕T 5869规定聚苯乙烯产品能耗限额水平较低。随着聚苯乙烯生产工艺技术的不断优化，各生产企业对聚苯乙烯装置的能效水平不断提升，国内聚苯乙烯装置的能效水平已远高于HG∕T 5869的限额，因此，有必要根据现有聚苯乙烯企业的生产水平制定新的能效限额标准。</w:t>
      </w:r>
    </w:p>
    <w:p w14:paraId="063EA0B8">
      <w:pPr>
        <w:pStyle w:val="2"/>
        <w:keepNext w:val="0"/>
        <w:keepLines w:val="0"/>
        <w:pageBreakBefore w:val="0"/>
        <w:widowControl w:val="0"/>
        <w:kinsoku/>
        <w:wordWrap/>
        <w:overflowPunct/>
        <w:topLinePunct w:val="0"/>
        <w:autoSpaceDE/>
        <w:autoSpaceDN/>
        <w:bidi w:val="0"/>
        <w:adjustRightInd/>
        <w:snapToGrid w:val="0"/>
        <w:spacing w:line="360" w:lineRule="auto"/>
        <w:ind w:firstLine="560"/>
        <w:textAlignment w:val="auto"/>
        <w:outlineLvl w:val="1"/>
        <w:rPr>
          <w:rFonts w:hint="default" w:ascii="楷体" w:hAnsi="楷体" w:eastAsia="楷体" w:cs="楷体"/>
          <w:b/>
          <w:bCs w:val="0"/>
          <w:color w:val="auto"/>
          <w:kern w:val="0"/>
          <w:sz w:val="32"/>
          <w:szCs w:val="32"/>
          <w:lang w:val="en-US" w:eastAsia="zh-CN" w:bidi="ar-SA"/>
        </w:rPr>
      </w:pPr>
      <w:r>
        <w:rPr>
          <w:rFonts w:hint="eastAsia" w:ascii="楷体" w:hAnsi="楷体" w:eastAsia="楷体" w:cs="楷体"/>
          <w:b/>
          <w:bCs w:val="0"/>
          <w:color w:val="auto"/>
          <w:kern w:val="0"/>
          <w:sz w:val="32"/>
          <w:szCs w:val="32"/>
          <w:lang w:val="en-US" w:eastAsia="zh-CN" w:bidi="ar-SA"/>
        </w:rPr>
        <w:t>（二）引用文件</w:t>
      </w:r>
    </w:p>
    <w:p w14:paraId="75E22DBD">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476  ‌煤中碳和氢的测定方法</w:t>
      </w:r>
    </w:p>
    <w:p w14:paraId="6D32414A">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2589  综合能耗计算通则</w:t>
      </w:r>
    </w:p>
    <w:p w14:paraId="62E3D8F4">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GB/T 8984  </w:t>
      </w:r>
      <w:r>
        <w:rPr>
          <w:rFonts w:hint="eastAsia" w:ascii="仿宋" w:hAnsi="仿宋" w:eastAsia="仿宋" w:cs="仿宋"/>
          <w:color w:val="auto"/>
          <w:sz w:val="30"/>
          <w:szCs w:val="30"/>
          <w:lang w:val="en-US" w:eastAsia="zh-CN"/>
        </w:rPr>
        <w:fldChar w:fldCharType="begin"/>
      </w:r>
      <w:r>
        <w:rPr>
          <w:rFonts w:hint="eastAsia" w:ascii="仿宋" w:hAnsi="仿宋" w:eastAsia="仿宋" w:cs="仿宋"/>
          <w:color w:val="auto"/>
          <w:sz w:val="30"/>
          <w:szCs w:val="30"/>
          <w:lang w:val="en-US" w:eastAsia="zh-CN"/>
        </w:rPr>
        <w:instrText xml:space="preserve"> HYPERLINK "https://std.samr.gov.cn/gb/search/gbDetailed?id=3DBA213286300D16E06397BE0A0A8119" \t "https://std.samr.gov.cn/search/stdPage?q=GB/_blank" </w:instrText>
      </w:r>
      <w:r>
        <w:rPr>
          <w:rFonts w:hint="eastAsia" w:ascii="仿宋" w:hAnsi="仿宋" w:eastAsia="仿宋" w:cs="仿宋"/>
          <w:color w:val="auto"/>
          <w:sz w:val="30"/>
          <w:szCs w:val="30"/>
          <w:lang w:val="en-US" w:eastAsia="zh-CN"/>
        </w:rPr>
        <w:fldChar w:fldCharType="separate"/>
      </w:r>
      <w:r>
        <w:rPr>
          <w:rFonts w:hint="eastAsia" w:ascii="仿宋" w:hAnsi="仿宋" w:eastAsia="仿宋" w:cs="仿宋"/>
          <w:color w:val="auto"/>
          <w:sz w:val="30"/>
          <w:szCs w:val="30"/>
          <w:lang w:val="en-US" w:eastAsia="zh-CN"/>
        </w:rPr>
        <w:t>气体分析 气体中微量一氧化碳、二氧化碳和碳氢化合物含量的测定 火焰离子化气相色谱法</w:t>
      </w:r>
      <w:r>
        <w:rPr>
          <w:rFonts w:hint="eastAsia" w:ascii="仿宋" w:hAnsi="仿宋" w:eastAsia="仿宋" w:cs="仿宋"/>
          <w:color w:val="auto"/>
          <w:sz w:val="30"/>
          <w:szCs w:val="30"/>
          <w:lang w:val="en-US" w:eastAsia="zh-CN"/>
        </w:rPr>
        <w:fldChar w:fldCharType="end"/>
      </w:r>
    </w:p>
    <w:p w14:paraId="34605483">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12671  聚苯乙烯（PS）树脂</w:t>
      </w:r>
    </w:p>
    <w:p w14:paraId="56F494E9">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12723  单位产品能源消耗限额编制通则</w:t>
      </w:r>
    </w:p>
    <w:p w14:paraId="4472095D">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GB/T 13610  </w:t>
      </w:r>
      <w:r>
        <w:rPr>
          <w:rFonts w:hint="eastAsia" w:ascii="仿宋" w:hAnsi="仿宋" w:eastAsia="仿宋" w:cs="仿宋"/>
          <w:color w:val="auto"/>
          <w:sz w:val="30"/>
          <w:szCs w:val="30"/>
          <w:lang w:val="en-US" w:eastAsia="zh-CN"/>
        </w:rPr>
        <w:fldChar w:fldCharType="begin"/>
      </w:r>
      <w:r>
        <w:rPr>
          <w:rFonts w:hint="eastAsia" w:ascii="仿宋" w:hAnsi="仿宋" w:eastAsia="仿宋" w:cs="仿宋"/>
          <w:color w:val="auto"/>
          <w:sz w:val="30"/>
          <w:szCs w:val="30"/>
          <w:lang w:val="en-US" w:eastAsia="zh-CN"/>
        </w:rPr>
        <w:instrText xml:space="preserve"> HYPERLINK "https://std.samr.gov.cn/gb/search/gbDetailed?id=B13990C15C125DDAE05397BE0A0A0D35" \t "https://std.samr.gov.cn/search/stdPage?q=GB/_blank" </w:instrText>
      </w:r>
      <w:r>
        <w:rPr>
          <w:rFonts w:hint="eastAsia" w:ascii="仿宋" w:hAnsi="仿宋" w:eastAsia="仿宋" w:cs="仿宋"/>
          <w:color w:val="auto"/>
          <w:sz w:val="30"/>
          <w:szCs w:val="30"/>
          <w:lang w:val="en-US" w:eastAsia="zh-CN"/>
        </w:rPr>
        <w:fldChar w:fldCharType="separate"/>
      </w:r>
      <w:r>
        <w:rPr>
          <w:rFonts w:hint="eastAsia" w:ascii="仿宋" w:hAnsi="仿宋" w:eastAsia="仿宋" w:cs="仿宋"/>
          <w:color w:val="auto"/>
          <w:sz w:val="30"/>
          <w:szCs w:val="30"/>
          <w:lang w:val="en-US" w:eastAsia="zh-CN"/>
        </w:rPr>
        <w:t>天然气的组成分析 气相色谱法</w:t>
      </w:r>
      <w:r>
        <w:rPr>
          <w:rFonts w:hint="eastAsia" w:ascii="仿宋" w:hAnsi="仿宋" w:eastAsia="仿宋" w:cs="仿宋"/>
          <w:color w:val="auto"/>
          <w:sz w:val="30"/>
          <w:szCs w:val="30"/>
          <w:lang w:val="en-US" w:eastAsia="zh-CN"/>
        </w:rPr>
        <w:fldChar w:fldCharType="end"/>
      </w:r>
    </w:p>
    <w:p w14:paraId="30B96A2B">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32150—2025  工业企业温室气体排放核算和报告通则</w:t>
      </w:r>
    </w:p>
    <w:p w14:paraId="31335767">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32151.10—2023  碳排放核算与报告要求第10部分：化工生产企业</w:t>
      </w:r>
    </w:p>
    <w:p w14:paraId="4AD2B7B5">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GBT 37198  抗冲击聚苯乙烯（PS-I）树脂</w:t>
      </w:r>
    </w:p>
    <w:p w14:paraId="021BE5B5">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left="0" w:leftChars="0"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SH/T 0656  </w:t>
      </w:r>
      <w:r>
        <w:rPr>
          <w:rFonts w:hint="eastAsia" w:ascii="仿宋" w:hAnsi="仿宋" w:eastAsia="仿宋" w:cs="仿宋"/>
          <w:color w:val="auto"/>
          <w:sz w:val="30"/>
          <w:szCs w:val="30"/>
          <w:lang w:val="en-US" w:eastAsia="zh-CN"/>
        </w:rPr>
        <w:fldChar w:fldCharType="begin"/>
      </w:r>
      <w:r>
        <w:rPr>
          <w:rFonts w:hint="eastAsia" w:ascii="仿宋" w:hAnsi="仿宋" w:eastAsia="仿宋" w:cs="仿宋"/>
          <w:color w:val="auto"/>
          <w:sz w:val="30"/>
          <w:szCs w:val="30"/>
          <w:lang w:val="en-US" w:eastAsia="zh-CN"/>
        </w:rPr>
        <w:instrText xml:space="preserve"> HYPERLINK "https://std.samr.gov.cn/hb/search/stdHBDetailed?id=8B1827F15082BB19E05397BE0A0AB44A" \t "https://std.samr.gov.cn/search/_blank" </w:instrText>
      </w:r>
      <w:r>
        <w:rPr>
          <w:rFonts w:hint="eastAsia" w:ascii="仿宋" w:hAnsi="仿宋" w:eastAsia="仿宋" w:cs="仿宋"/>
          <w:color w:val="auto"/>
          <w:sz w:val="30"/>
          <w:szCs w:val="30"/>
          <w:lang w:val="en-US" w:eastAsia="zh-CN"/>
        </w:rPr>
        <w:fldChar w:fldCharType="separate"/>
      </w:r>
      <w:r>
        <w:rPr>
          <w:rFonts w:hint="eastAsia" w:ascii="仿宋" w:hAnsi="仿宋" w:eastAsia="仿宋" w:cs="仿宋"/>
          <w:color w:val="auto"/>
          <w:sz w:val="30"/>
          <w:szCs w:val="30"/>
          <w:lang w:val="en-US" w:eastAsia="zh-CN"/>
        </w:rPr>
        <w:t>石油产品及润滑剂中碳、氢、氮的测定 元素分析仪法</w:t>
      </w:r>
      <w:r>
        <w:rPr>
          <w:rFonts w:hint="eastAsia" w:ascii="仿宋" w:hAnsi="仿宋" w:eastAsia="仿宋" w:cs="仿宋"/>
          <w:color w:val="auto"/>
          <w:sz w:val="30"/>
          <w:szCs w:val="30"/>
          <w:lang w:val="en-US" w:eastAsia="zh-CN"/>
        </w:rPr>
        <w:fldChar w:fldCharType="end"/>
      </w:r>
    </w:p>
    <w:p w14:paraId="7050E84A">
      <w:pPr>
        <w:keepNext w:val="0"/>
        <w:keepLines w:val="0"/>
        <w:pageBreakBefore w:val="0"/>
        <w:widowControl w:val="0"/>
        <w:kinsoku/>
        <w:wordWrap/>
        <w:overflowPunct/>
        <w:topLinePunct w:val="0"/>
        <w:autoSpaceDE/>
        <w:autoSpaceDN/>
        <w:bidi w:val="0"/>
        <w:snapToGrid w:val="0"/>
        <w:spacing w:line="360" w:lineRule="auto"/>
        <w:ind w:firstLine="643" w:firstLineChars="200"/>
        <w:jc w:val="both"/>
        <w:textAlignment w:val="auto"/>
        <w:outlineLvl w:val="0"/>
        <w:rPr>
          <w:rFonts w:hint="default"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四</w:t>
      </w:r>
      <w:r>
        <w:rPr>
          <w:rFonts w:hint="default" w:ascii="Times New Roman" w:hAnsi="Times New Roman" w:eastAsia="黑体" w:cs="Times New Roman"/>
          <w:b/>
          <w:color w:val="auto"/>
          <w:kern w:val="0"/>
          <w:sz w:val="32"/>
          <w:szCs w:val="32"/>
          <w:lang w:val="en-US" w:eastAsia="zh-CN" w:bidi="ar-SA"/>
        </w:rPr>
        <w:t>、工作过程</w:t>
      </w:r>
    </w:p>
    <w:p w14:paraId="755D9FC8">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在</w:t>
      </w:r>
      <w:r>
        <w:rPr>
          <w:rFonts w:hint="eastAsia" w:ascii="仿宋" w:hAnsi="仿宋" w:eastAsia="仿宋" w:cs="仿宋"/>
          <w:color w:val="auto"/>
          <w:sz w:val="30"/>
          <w:szCs w:val="30"/>
          <w:lang w:val="en-US" w:eastAsia="zh-CN"/>
        </w:rPr>
        <w:t>广东省能源局</w:t>
      </w:r>
      <w:r>
        <w:rPr>
          <w:rFonts w:hint="eastAsia" w:ascii="仿宋" w:hAnsi="仿宋" w:eastAsia="仿宋" w:cs="仿宋"/>
          <w:color w:val="auto"/>
          <w:sz w:val="30"/>
          <w:szCs w:val="30"/>
        </w:rPr>
        <w:t>下达标准</w:t>
      </w:r>
      <w:r>
        <w:rPr>
          <w:rFonts w:hint="eastAsia" w:ascii="仿宋" w:hAnsi="仿宋" w:eastAsia="仿宋" w:cs="仿宋"/>
          <w:color w:val="auto"/>
          <w:sz w:val="30"/>
          <w:szCs w:val="30"/>
          <w:lang w:val="en-US" w:eastAsia="zh-CN"/>
        </w:rPr>
        <w:t>编制任务</w:t>
      </w:r>
      <w:r>
        <w:rPr>
          <w:rFonts w:hint="eastAsia" w:ascii="仿宋" w:hAnsi="仿宋" w:eastAsia="仿宋" w:cs="仿宋"/>
          <w:color w:val="auto"/>
          <w:sz w:val="30"/>
          <w:szCs w:val="30"/>
        </w:rPr>
        <w:t>后，</w:t>
      </w:r>
      <w:r>
        <w:rPr>
          <w:rFonts w:hint="eastAsia" w:ascii="仿宋" w:hAnsi="仿宋" w:eastAsia="仿宋" w:cs="仿宋"/>
          <w:color w:val="auto"/>
          <w:sz w:val="30"/>
          <w:szCs w:val="30"/>
          <w:lang w:val="en-US" w:eastAsia="zh-CN"/>
        </w:rPr>
        <w:t>标准起草小组</w:t>
      </w:r>
      <w:r>
        <w:rPr>
          <w:rFonts w:hint="eastAsia" w:ascii="仿宋" w:hAnsi="仿宋" w:eastAsia="仿宋" w:cs="仿宋"/>
          <w:color w:val="auto"/>
          <w:sz w:val="30"/>
          <w:szCs w:val="30"/>
        </w:rPr>
        <w:t>马上制定工作计划，按计划开展标准</w:t>
      </w:r>
      <w:r>
        <w:rPr>
          <w:rFonts w:hint="eastAsia" w:ascii="仿宋" w:hAnsi="仿宋" w:eastAsia="仿宋" w:cs="仿宋"/>
          <w:color w:val="auto"/>
          <w:sz w:val="30"/>
          <w:szCs w:val="30"/>
          <w:lang w:val="en-US" w:eastAsia="zh-CN"/>
        </w:rPr>
        <w:t>制订</w:t>
      </w:r>
      <w:r>
        <w:rPr>
          <w:rFonts w:hint="eastAsia" w:ascii="仿宋" w:hAnsi="仿宋" w:eastAsia="仿宋" w:cs="仿宋"/>
          <w:color w:val="auto"/>
          <w:sz w:val="30"/>
          <w:szCs w:val="30"/>
        </w:rPr>
        <w:t>工作。</w:t>
      </w:r>
    </w:p>
    <w:p w14:paraId="072FEEA1">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2025年11月6日，</w:t>
      </w:r>
      <w:bookmarkStart w:id="4" w:name="_GoBack"/>
      <w:bookmarkEnd w:id="4"/>
      <w:r>
        <w:rPr>
          <w:rFonts w:hint="eastAsia" w:ascii="仿宋" w:hAnsi="仿宋" w:eastAsia="仿宋" w:cs="仿宋"/>
          <w:color w:val="auto"/>
          <w:sz w:val="30"/>
          <w:szCs w:val="30"/>
          <w:lang w:val="en-US" w:eastAsia="zh-CN"/>
        </w:rPr>
        <w:t>发布团体标准参编邀请函，并于2025年11月30日完成参编单位邀请，一共10家单位参编本标准。</w:t>
      </w:r>
    </w:p>
    <w:p w14:paraId="1A23B8F5">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2026年2月至2026年4月，一是通过梳理现有政策文件、标准规范、统计报告和研究文献等，收集聚苯乙烯装置反应原理、工艺流程、主要用能影响因素、二氧化碳排放情况、相关节能措施等资料，分析聚苯乙烯生产企业现状，分析其存在问题和未来发展趋势，为明确标准范围和内容框架提供参考基础。二是继续调研广东省存量、新建、在建聚苯乙烯装置企业，主要调研了中国石油化工股份有限公司广州分公司、中国石油化工股份有限公司茂名分公司、惠州仁信新材料股份有限公司、星辉环保材料股份有限公司、惠州兴达石化工业有限公司等企业，汇总分析各企业的用能工艺、用能结构、能源消耗、能效水平、碳排放等参数，为标准的制定提供充分的支撑依据；三是与茂名市节能中心、惠州市节能中心、湛江市节能中心、珠海市节能中心、中国石油化工股份有限公司广州分公司、星辉环保材料股份有限公司等参编单位进行深入交流，进一步获取相关的信息和资料。</w:t>
      </w:r>
    </w:p>
    <w:p w14:paraId="56DD59C5">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2026年5月，根据前期调研与研究成果，完成标准（征求意见稿）初稿的编制，并公开征集参编单位对标准（征求意见稿）初稿的修改意见和建议。</w:t>
      </w:r>
    </w:p>
    <w:p w14:paraId="1DF08F03">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2026年6月，完成参编单位意见修改稿。</w:t>
      </w:r>
    </w:p>
    <w:p w14:paraId="043366AD">
      <w:pPr>
        <w:keepNext w:val="0"/>
        <w:keepLines w:val="0"/>
        <w:pageBreakBefore w:val="0"/>
        <w:widowControl w:val="0"/>
        <w:kinsoku/>
        <w:wordWrap/>
        <w:overflowPunct/>
        <w:topLinePunct w:val="0"/>
        <w:bidi w:val="0"/>
        <w:adjustRightInd/>
        <w:snapToGrid/>
        <w:spacing w:line="360" w:lineRule="auto"/>
        <w:ind w:firstLine="600" w:firstLineChars="20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2026年7月，</w:t>
      </w:r>
      <w:r>
        <w:rPr>
          <w:rFonts w:hint="eastAsia" w:ascii="仿宋" w:hAnsi="仿宋" w:eastAsia="仿宋" w:cs="仿宋"/>
          <w:color w:val="auto"/>
          <w:sz w:val="30"/>
          <w:szCs w:val="30"/>
          <w:highlight w:val="none"/>
        </w:rPr>
        <w:t>形成正式的征求意见稿和编制说明。</w:t>
      </w:r>
    </w:p>
    <w:p w14:paraId="1A3A4AD4">
      <w:pPr>
        <w:keepNext w:val="0"/>
        <w:keepLines w:val="0"/>
        <w:pageBreakBefore w:val="0"/>
        <w:widowControl w:val="0"/>
        <w:kinsoku/>
        <w:wordWrap/>
        <w:overflowPunct/>
        <w:topLinePunct w:val="0"/>
        <w:autoSpaceDE/>
        <w:autoSpaceDN/>
        <w:bidi w:val="0"/>
        <w:snapToGrid w:val="0"/>
        <w:spacing w:line="360" w:lineRule="auto"/>
        <w:ind w:firstLine="643" w:firstLineChars="200"/>
        <w:jc w:val="both"/>
        <w:textAlignment w:val="auto"/>
        <w:outlineLvl w:val="0"/>
        <w:rPr>
          <w:rFonts w:hint="default"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五</w:t>
      </w:r>
      <w:r>
        <w:rPr>
          <w:rFonts w:hint="default" w:ascii="Times New Roman" w:hAnsi="Times New Roman" w:eastAsia="黑体" w:cs="Times New Roman"/>
          <w:b/>
          <w:color w:val="auto"/>
          <w:kern w:val="0"/>
          <w:sz w:val="32"/>
          <w:szCs w:val="32"/>
          <w:lang w:val="en-US" w:eastAsia="zh-CN" w:bidi="ar-SA"/>
        </w:rPr>
        <w:t>、标准编制原则和主要内容</w:t>
      </w:r>
    </w:p>
    <w:p w14:paraId="6E27B0ED">
      <w:pPr>
        <w:pStyle w:val="2"/>
        <w:keepNext w:val="0"/>
        <w:keepLines w:val="0"/>
        <w:pageBreakBefore w:val="0"/>
        <w:widowControl w:val="0"/>
        <w:kinsoku/>
        <w:wordWrap/>
        <w:overflowPunct/>
        <w:topLinePunct w:val="0"/>
        <w:autoSpaceDE/>
        <w:autoSpaceDN/>
        <w:bidi w:val="0"/>
        <w:adjustRightInd/>
        <w:snapToGrid w:val="0"/>
        <w:spacing w:line="360" w:lineRule="auto"/>
        <w:ind w:firstLine="560"/>
        <w:textAlignment w:val="auto"/>
        <w:outlineLvl w:val="1"/>
        <w:rPr>
          <w:rFonts w:hint="eastAsia" w:ascii="楷体" w:hAnsi="楷体" w:eastAsia="楷体" w:cs="楷体"/>
          <w:b/>
          <w:bCs w:val="0"/>
          <w:color w:val="auto"/>
          <w:kern w:val="0"/>
          <w:sz w:val="32"/>
          <w:szCs w:val="32"/>
          <w:lang w:val="en-US" w:eastAsia="zh-CN" w:bidi="ar-SA"/>
        </w:rPr>
      </w:pPr>
      <w:r>
        <w:rPr>
          <w:rFonts w:hint="eastAsia" w:ascii="楷体" w:hAnsi="楷体" w:eastAsia="楷体" w:cs="楷体"/>
          <w:b/>
          <w:bCs w:val="0"/>
          <w:color w:val="auto"/>
          <w:kern w:val="0"/>
          <w:sz w:val="32"/>
          <w:szCs w:val="32"/>
          <w:lang w:val="en-US" w:eastAsia="zh-CN" w:bidi="ar-SA"/>
        </w:rPr>
        <w:t>（一）标准编制原则</w:t>
      </w:r>
    </w:p>
    <w:p w14:paraId="2C973E42">
      <w:pPr>
        <w:keepNext w:val="0"/>
        <w:keepLines w:val="0"/>
        <w:pageBreakBefore w:val="0"/>
        <w:widowControl w:val="0"/>
        <w:kinsoku/>
        <w:wordWrap/>
        <w:overflowPunct/>
        <w:topLinePunct w:val="0"/>
        <w:autoSpaceDE/>
        <w:autoSpaceDN/>
        <w:bidi w:val="0"/>
        <w:snapToGrid w:val="0"/>
        <w:spacing w:line="360" w:lineRule="auto"/>
        <w:ind w:firstLine="602" w:firstLineChars="200"/>
        <w:textAlignment w:val="auto"/>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1.协调性原则</w:t>
      </w:r>
    </w:p>
    <w:p w14:paraId="6CA9E13D">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本文件作为单位产品能耗及单位产品碳排放控制标准，其内容应符合国家现行的方针、政策、法律法规，另外还应与行业发展技术水平相协调，以促进技术进步和行业技术升级。</w:t>
      </w:r>
    </w:p>
    <w:p w14:paraId="5D7A558F">
      <w:pPr>
        <w:keepNext w:val="0"/>
        <w:keepLines w:val="0"/>
        <w:pageBreakBefore w:val="0"/>
        <w:widowControl w:val="0"/>
        <w:kinsoku/>
        <w:wordWrap/>
        <w:overflowPunct/>
        <w:topLinePunct w:val="0"/>
        <w:autoSpaceDE/>
        <w:autoSpaceDN/>
        <w:bidi w:val="0"/>
        <w:snapToGrid w:val="0"/>
        <w:spacing w:line="360" w:lineRule="auto"/>
        <w:ind w:firstLine="602" w:firstLineChars="200"/>
        <w:textAlignment w:val="auto"/>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2.适用性原则</w:t>
      </w:r>
    </w:p>
    <w:p w14:paraId="5D809809">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技术要求指标的确定，不仅要考虑科学、先进，还要考虑经济、适用，即标准指标要科学先进，还要经济合理、实施便利，满足使用要求，确保可操作性。</w:t>
      </w:r>
    </w:p>
    <w:p w14:paraId="4B29293E">
      <w:pPr>
        <w:keepNext w:val="0"/>
        <w:keepLines w:val="0"/>
        <w:pageBreakBefore w:val="0"/>
        <w:widowControl w:val="0"/>
        <w:kinsoku/>
        <w:wordWrap/>
        <w:overflowPunct/>
        <w:topLinePunct w:val="0"/>
        <w:autoSpaceDE/>
        <w:autoSpaceDN/>
        <w:bidi w:val="0"/>
        <w:snapToGrid w:val="0"/>
        <w:spacing w:line="360" w:lineRule="auto"/>
        <w:ind w:firstLine="602" w:firstLineChars="200"/>
        <w:textAlignment w:val="auto"/>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3.规范性原则</w:t>
      </w:r>
    </w:p>
    <w:p w14:paraId="647DBCBC">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本文件在编制过程中严格按照《标准化工作导则 第1部分：标准化文件的结构和起草规则》（GB/T 1.1-2020）、《单位产品能源消耗限额编制通则》（GB/T 12723-2024）以及《石化化工行业单位产品碳排放限额编制导则（征求意见稿）》、《工业企业温室气体排放核算和报告通则》（GB/T 32150-2025）、《碳排放核算与报告要求 第10部分：化工生产企业》（GB/T 32151.10-2025）、《中国化工生产企业温室气体排放核算方法与报告指南（试行）》等规定的基本原则和要求进行编写和表述。</w:t>
      </w:r>
    </w:p>
    <w:p w14:paraId="798C144E">
      <w:pPr>
        <w:pStyle w:val="2"/>
        <w:keepNext w:val="0"/>
        <w:keepLines w:val="0"/>
        <w:pageBreakBefore w:val="0"/>
        <w:widowControl w:val="0"/>
        <w:kinsoku/>
        <w:wordWrap/>
        <w:overflowPunct/>
        <w:topLinePunct w:val="0"/>
        <w:autoSpaceDE/>
        <w:autoSpaceDN/>
        <w:bidi w:val="0"/>
        <w:adjustRightInd/>
        <w:snapToGrid w:val="0"/>
        <w:spacing w:line="360" w:lineRule="auto"/>
        <w:ind w:firstLine="560"/>
        <w:textAlignment w:val="auto"/>
        <w:outlineLvl w:val="1"/>
        <w:rPr>
          <w:rFonts w:hint="default"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（二）标准主要内容</w:t>
      </w:r>
    </w:p>
    <w:p w14:paraId="0FCF4EF6">
      <w:pPr>
        <w:keepNext w:val="0"/>
        <w:keepLines w:val="0"/>
        <w:pageBreakBefore w:val="0"/>
        <w:widowControl w:val="0"/>
        <w:kinsoku/>
        <w:wordWrap/>
        <w:overflowPunct/>
        <w:topLinePunct w:val="0"/>
        <w:autoSpaceDE/>
        <w:autoSpaceDN/>
        <w:bidi w:val="0"/>
        <w:snapToGrid w:val="0"/>
        <w:spacing w:line="360" w:lineRule="auto"/>
        <w:ind w:firstLine="602" w:firstLineChars="200"/>
        <w:textAlignment w:val="auto"/>
        <w:outlineLvl w:val="2"/>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1.标准适用范围</w:t>
      </w:r>
    </w:p>
    <w:p w14:paraId="30ED34E3">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本文件规定了聚苯乙烯单位产品能源消耗和单位产品二氧化碳排放的限额等级、指标要求、统计范围、计算方法、节能降碳管理与措施。适用于现有、新建或改扩建以聚乙烯为原料生产聚苯乙烯的企业单位产品能耗、单位产品二氧化碳排放的计算和评价。</w:t>
      </w:r>
    </w:p>
    <w:p w14:paraId="57385610">
      <w:pPr>
        <w:keepNext w:val="0"/>
        <w:keepLines w:val="0"/>
        <w:pageBreakBefore w:val="0"/>
        <w:widowControl w:val="0"/>
        <w:kinsoku/>
        <w:wordWrap/>
        <w:overflowPunct/>
        <w:topLinePunct w:val="0"/>
        <w:autoSpaceDE/>
        <w:autoSpaceDN/>
        <w:bidi w:val="0"/>
        <w:snapToGrid w:val="0"/>
        <w:spacing w:line="360" w:lineRule="auto"/>
        <w:ind w:firstLine="602" w:firstLineChars="200"/>
        <w:textAlignment w:val="auto"/>
        <w:outlineLvl w:val="2"/>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2.标准限额指标的确定</w:t>
      </w:r>
    </w:p>
    <w:p w14:paraId="6C6CA324">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聚苯乙烯是热塑性非结晶性的树脂，主要分为通用级聚苯乙烯（GPPS）、高抗冲聚苯乙烯（HIPS）和可发性聚苯乙烯（EPS）。聚苯乙烯树脂的工业化生产主要采用本体聚合法和悬浮聚合法两种工艺技术。由于悬浮聚合法工艺废水多、残留杂质多等原因，目前除生产EPS采用此法以外，通用型聚苯乙烯（GPPS）、抗冲型聚苯乙烯（HIPS）的生产均采用本体聚合工艺和技术。</w:t>
      </w:r>
    </w:p>
    <w:p w14:paraId="37B7C49E">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因此，本标准根据工艺技术分为本体聚合法生产聚苯乙烯产品（包括通用级聚苯乙烯GPPS和高抗冲聚苯乙烯HIPS）和悬浮聚合法生产可发性聚苯乙烯（EPS）的单位产品综合能耗和单位产品二氧化碳排放为本标准推荐性能效限额指标，涉及能源品种主要为天然气/燃料气、电力、蒸汽、柴油等。其中，GPPS和HIPS装置的主要用能系统为配料工段、聚合工段、脱挥工段、造粒和包装工段等，以及辅助生产系统及附属生产系统；EPS装置的主要用能系统为配料工段、聚合工段、洗涤工段、分离干燥工段、筛分工段、涂膜工段和包装工段等，以及辅助生产系统及附属生产系统。</w:t>
      </w:r>
    </w:p>
    <w:p w14:paraId="05834103">
      <w:pPr>
        <w:keepNext w:val="0"/>
        <w:keepLines w:val="0"/>
        <w:pageBreakBefore w:val="0"/>
        <w:widowControl w:val="0"/>
        <w:kinsoku/>
        <w:wordWrap/>
        <w:overflowPunct/>
        <w:topLinePunct w:val="0"/>
        <w:autoSpaceDE/>
        <w:autoSpaceDN/>
        <w:bidi w:val="0"/>
        <w:snapToGrid w:val="0"/>
        <w:spacing w:line="360" w:lineRule="auto"/>
        <w:ind w:firstLine="602" w:firstLineChars="200"/>
        <w:textAlignment w:val="auto"/>
        <w:outlineLvl w:val="2"/>
        <w:rPr>
          <w:rFonts w:hint="default"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3.</w:t>
      </w:r>
      <w:r>
        <w:rPr>
          <w:rFonts w:hint="eastAsia" w:ascii="仿宋" w:hAnsi="仿宋" w:eastAsia="仿宋" w:cs="仿宋"/>
          <w:b/>
          <w:bCs/>
          <w:color w:val="auto"/>
          <w:sz w:val="30"/>
          <w:szCs w:val="30"/>
          <w:highlight w:val="none"/>
          <w:lang w:val="en-US" w:eastAsia="zh-CN"/>
        </w:rPr>
        <w:t>能耗</w:t>
      </w:r>
      <w:r>
        <w:rPr>
          <w:rFonts w:hint="eastAsia" w:ascii="仿宋" w:hAnsi="仿宋" w:eastAsia="仿宋" w:cs="仿宋"/>
          <w:b/>
          <w:bCs/>
          <w:color w:val="auto"/>
          <w:sz w:val="30"/>
          <w:szCs w:val="30"/>
          <w:lang w:val="en-US" w:eastAsia="zh-CN"/>
        </w:rPr>
        <w:t>限额指标值的计算方法</w:t>
      </w:r>
    </w:p>
    <w:p w14:paraId="324A444A">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本章节规定了聚苯乙烯装置综合能耗、二氧化碳排放总量的统计范围、统计范围的基本工艺流程、统计方法以及装置综合能耗、单位产品综合能耗、装置碳排放总量、单位产品二氧化碳排放量的计算方法。生产企业实际计算综合能耗时，应按产品的实际能耗折算成标准煤后再计算；计算碳排放量时，应按产品的实际能源消耗按对应的排放因子进行折算。</w:t>
      </w:r>
    </w:p>
    <w:p w14:paraId="6EA74F10">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outlineLvl w:val="3"/>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（1）统计范围</w:t>
      </w:r>
    </w:p>
    <w:p w14:paraId="014CE5B0">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聚苯乙烯生产系统的能耗及二氧化碳排放统计界区包括主要生产系统、辅助生产系统和附属生产系统。其中：</w:t>
      </w:r>
    </w:p>
    <w:p w14:paraId="30FA353A">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a）聚苯乙烯主要生产系统</w:t>
      </w:r>
    </w:p>
    <w:p w14:paraId="3B38CC7B">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聚苯乙烯主要生产系统包括从原料苯乙烯等经计量进入工艺装置开始，到成品进入仓库为止的整个生产过程中各种能耗及二氧化碳排放。GPPS和HIPS的主要生产工序包括配料工段、聚合工段、脱挥工段、造粒和包装工段等，EPS的主要生产工序包括配料工段、聚合工段、洗涤工段、分离干燥工段、筛分工段、涂膜工段和包装工段等。</w:t>
      </w:r>
    </w:p>
    <w:p w14:paraId="37B57D68">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b）聚苯乙烯辅助生产系统</w:t>
      </w:r>
    </w:p>
    <w:p w14:paraId="31781190">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为满足聚苯乙烯生产需要而配置的辅助性工艺过程、设备和设施，包括供电、供水、供汽、供热、机修、电气、仪表、厂内原料场地以及安全、环保装置和各种载能工质的生产装置等。</w:t>
      </w:r>
    </w:p>
    <w:p w14:paraId="03C4CF76">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c）聚苯乙烯附属生产系统</w:t>
      </w:r>
    </w:p>
    <w:p w14:paraId="09BBB164">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为聚苯乙烯生产系统配置的生产调度系统和为生产服务的附属性部门和设施，包括办公室、操作室、休息室、更衣室、洗浴室、中控分析、成品检验等。聚苯乙烯装置能耗统计界区示意图和二氧化碳排放核算边界示意图如下：</w:t>
      </w:r>
    </w:p>
    <w:p w14:paraId="2583ECC0">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sz w:val="30"/>
          <w:szCs w:val="30"/>
          <w:lang w:val="en-US" w:eastAsia="zh-CN"/>
        </w:rPr>
      </w:pPr>
      <w:r>
        <w:rPr>
          <w:rFonts w:hint="eastAsia"/>
          <w:b/>
          <w:bCs/>
          <w:color w:val="auto"/>
          <w:szCs w:val="21"/>
          <w:lang w:val="en-US" w:eastAsia="zh-CN"/>
        </w:rPr>
        <w:drawing>
          <wp:inline distT="0" distB="0" distL="114300" distR="114300">
            <wp:extent cx="5306060" cy="3904615"/>
            <wp:effectExtent l="0" t="0" r="8890" b="63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5"/>
                    <a:stretch>
                      <a:fillRect/>
                    </a:stretch>
                  </pic:blipFill>
                  <pic:spPr>
                    <a:xfrm>
                      <a:off x="0" y="0"/>
                      <a:ext cx="5306060" cy="3904615"/>
                    </a:xfrm>
                    <a:prstGeom prst="rect">
                      <a:avLst/>
                    </a:prstGeom>
                    <a:noFill/>
                    <a:ln>
                      <a:noFill/>
                    </a:ln>
                  </pic:spPr>
                </pic:pic>
              </a:graphicData>
            </a:graphic>
          </wp:inline>
        </w:drawing>
      </w:r>
    </w:p>
    <w:p w14:paraId="3086FD28">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图1 GPPS和HIPS装置能耗统计界区示意图</w:t>
      </w:r>
    </w:p>
    <w:p w14:paraId="47FCC9B0">
      <w:pPr>
        <w:keepNext w:val="0"/>
        <w:keepLines w:val="0"/>
        <w:pageBreakBefore w:val="0"/>
        <w:widowControl w:val="0"/>
        <w:kinsoku/>
        <w:wordWrap/>
        <w:overflowPunct/>
        <w:topLinePunct w:val="0"/>
        <w:autoSpaceDE/>
        <w:autoSpaceDN/>
        <w:bidi w:val="0"/>
        <w:snapToGrid w:val="0"/>
        <w:spacing w:line="360" w:lineRule="auto"/>
        <w:jc w:val="center"/>
        <w:textAlignment w:val="auto"/>
        <w:rPr>
          <w:color w:val="auto"/>
        </w:rPr>
      </w:pPr>
      <w:r>
        <w:rPr>
          <w:color w:val="auto"/>
        </w:rPr>
        <w:drawing>
          <wp:inline distT="0" distB="0" distL="114300" distR="114300">
            <wp:extent cx="5196205" cy="4776470"/>
            <wp:effectExtent l="0" t="0" r="4445" b="508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6"/>
                    <a:stretch>
                      <a:fillRect/>
                    </a:stretch>
                  </pic:blipFill>
                  <pic:spPr>
                    <a:xfrm>
                      <a:off x="0" y="0"/>
                      <a:ext cx="5196205" cy="4776470"/>
                    </a:xfrm>
                    <a:prstGeom prst="rect">
                      <a:avLst/>
                    </a:prstGeom>
                    <a:noFill/>
                    <a:ln>
                      <a:noFill/>
                    </a:ln>
                  </pic:spPr>
                </pic:pic>
              </a:graphicData>
            </a:graphic>
          </wp:inline>
        </w:drawing>
      </w:r>
    </w:p>
    <w:p w14:paraId="7A83B929">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图2 EPS装置能耗统计界区示意图</w:t>
      </w:r>
    </w:p>
    <w:p w14:paraId="1900207E">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color w:val="auto"/>
          <w:lang w:val="en-US" w:eastAsia="zh-CN"/>
        </w:rPr>
      </w:pPr>
    </w:p>
    <w:p w14:paraId="06AD9EEF">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default" w:ascii="仿宋" w:hAnsi="仿宋" w:eastAsia="仿宋" w:cs="仿宋"/>
          <w:color w:val="auto"/>
          <w:sz w:val="30"/>
          <w:szCs w:val="30"/>
          <w:lang w:val="en-US" w:eastAsia="zh-CN"/>
        </w:rPr>
      </w:pPr>
      <w:r>
        <w:rPr>
          <w:rFonts w:hint="default" w:ascii="仿宋" w:hAnsi="仿宋" w:eastAsia="仿宋" w:cs="仿宋"/>
          <w:color w:val="auto"/>
          <w:sz w:val="30"/>
          <w:szCs w:val="30"/>
          <w:lang w:val="en-US" w:eastAsia="zh-CN"/>
        </w:rPr>
        <w:drawing>
          <wp:inline distT="0" distB="0" distL="114300" distR="114300">
            <wp:extent cx="5267960" cy="4137660"/>
            <wp:effectExtent l="0" t="0" r="8890" b="15240"/>
            <wp:docPr id="2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
                    <pic:cNvPicPr>
                      <a:picLocks noChangeAspect="1"/>
                    </pic:cNvPicPr>
                  </pic:nvPicPr>
                  <pic:blipFill>
                    <a:blip r:embed="rId7"/>
                    <a:stretch>
                      <a:fillRect/>
                    </a:stretch>
                  </pic:blipFill>
                  <pic:spPr>
                    <a:xfrm>
                      <a:off x="0" y="0"/>
                      <a:ext cx="5267960" cy="4137660"/>
                    </a:xfrm>
                    <a:prstGeom prst="rect">
                      <a:avLst/>
                    </a:prstGeom>
                    <a:noFill/>
                    <a:ln>
                      <a:noFill/>
                    </a:ln>
                  </pic:spPr>
                </pic:pic>
              </a:graphicData>
            </a:graphic>
          </wp:inline>
        </w:drawing>
      </w:r>
    </w:p>
    <w:p w14:paraId="601C337D">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图3 聚苯乙烯二氧化碳排放核算边界示意图</w:t>
      </w:r>
    </w:p>
    <w:p w14:paraId="16276D26">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outlineLvl w:val="3"/>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（2）统计方法</w:t>
      </w:r>
    </w:p>
    <w:p w14:paraId="694576C5">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a）聚苯乙烯生产系统输入和使用的能源包括聚苯乙烯主要生产系统、辅助生产系统、附属生产系统所消耗的各种一次能源量（原煤、石油、天然气等）、二次能源（电力、热力等）和生产使用的耗能工质（水、氧气、压缩空气、脱盐水等）所消耗的能源量，不包括建设和改造过程用能和生活用能（指企业系统内宿舍、学校、文化娱乐、商业服务和托儿幼教等方面用能）。上述聚苯乙烯生产系统输入和使用能源而产生的直接和间接二氧化碳排放应计入聚苯乙烯生产系统的二氧化碳排放量中。此外，聚苯乙烯的工艺生产过程中，采用聚乙烯为原料，经聚合反应后生产聚苯乙烯，不涉及过程排放，加工过程的碳原子损耗量较小，因此，本标准聚苯乙烯装置的二氧化碳排放量统计不考虑工业过程排放。</w:t>
      </w:r>
    </w:p>
    <w:p w14:paraId="437EFBE7">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b）聚苯乙烯生产系统输出能源是指聚苯乙烯生产系统向外输出的供其他产品或装置使用的电力和热力。聚苯乙烯生产系统界区内的废气、废液、废渣等未回收使用的、无计量的、没有实测热值以及不作为能源、再次利用的，均不得计入输出能源。上述聚苯乙烯生产系统输出能源而产生的直接和间接二氧化碳排放应在聚苯乙烯生产系统碳排放量中予以扣除。</w:t>
      </w:r>
    </w:p>
    <w:p w14:paraId="28B24190">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c）统计聚苯乙烯生产系统回收的能量时，回收利用的能量用于本系统时不应作为输入能源再计入；向外输出时，应计入聚苯乙烯生产系统向外输出的能源。</w:t>
      </w:r>
    </w:p>
    <w:p w14:paraId="1970BAD4">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d）聚苯乙烯企业涉及固碳、碳捕集与碳封存、碳汇等二氧化碳清除活动，以及使用绿色电力，不应直接扣减。</w:t>
      </w:r>
    </w:p>
    <w:p w14:paraId="0A56AC1C">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outlineLvl w:val="3"/>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（3）计算方法</w:t>
      </w:r>
    </w:p>
    <w:p w14:paraId="157E540C">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a）聚苯乙烯综合能耗按式（1）计算：</w:t>
      </w:r>
    </w:p>
    <w:p w14:paraId="210A45E8">
      <w:pPr>
        <w:keepNext w:val="0"/>
        <w:keepLines w:val="0"/>
        <w:pageBreakBefore w:val="0"/>
        <w:widowControl w:val="0"/>
        <w:tabs>
          <w:tab w:val="center" w:leader="dot" w:pos="6300"/>
        </w:tabs>
        <w:kinsoku/>
        <w:wordWrap/>
        <w:overflowPunct/>
        <w:topLinePunct w:val="0"/>
        <w:autoSpaceDE/>
        <w:autoSpaceDN/>
        <w:bidi w:val="0"/>
        <w:adjustRightInd/>
        <w:snapToGrid w:val="0"/>
        <w:spacing w:line="360" w:lineRule="auto"/>
        <w:ind w:left="0" w:leftChars="0" w:firstLine="0" w:firstLineChars="0"/>
        <w:jc w:val="right"/>
        <w:textAlignment w:val="auto"/>
        <w:rPr>
          <w:rFonts w:hint="eastAsia" w:ascii="仿宋" w:hAnsi="仿宋" w:eastAsia="仿宋" w:cs="仿宋"/>
          <w:color w:val="auto"/>
          <w:sz w:val="30"/>
          <w:szCs w:val="30"/>
          <w:lang w:val="en-US" w:eastAsia="zh-CN"/>
        </w:rPr>
      </w:pPr>
      <m:oMath>
        <m:r>
          <m:rPr>
            <m:sty m:val="p"/>
          </m:rPr>
          <w:rPr>
            <w:rFonts w:hint="eastAsia" w:ascii="Cambria Math" w:hAnsi="Cambria Math" w:eastAsia="仿宋" w:cs="仿宋"/>
            <w:color w:val="auto"/>
            <w:sz w:val="30"/>
            <w:szCs w:val="30"/>
            <w:lang w:val="en-US" w:eastAsia="zh-CN"/>
          </w:rPr>
          <m:t>E=</m:t>
        </m:r>
        <m:nary>
          <m:naryPr>
            <m:chr m:val="∑"/>
            <m:limLoc m:val="undOvr"/>
            <m:ctrlPr>
              <w:rPr>
                <w:rFonts w:hint="eastAsia" w:ascii="Cambria Math" w:hAnsi="Cambria Math" w:eastAsia="仿宋" w:cs="仿宋"/>
                <w:color w:val="auto"/>
                <w:sz w:val="30"/>
                <w:szCs w:val="30"/>
                <w:lang w:val="en-US" w:eastAsia="zh-CN"/>
              </w:rPr>
            </m:ctrlPr>
          </m:naryPr>
          <m:sub>
            <m:r>
              <m:rPr>
                <m:sty m:val="p"/>
              </m:rPr>
              <w:rPr>
                <w:rFonts w:hint="eastAsia" w:ascii="Cambria Math" w:hAnsi="Cambria Math" w:eastAsia="仿宋" w:cs="仿宋"/>
                <w:color w:val="auto"/>
                <w:sz w:val="30"/>
                <w:szCs w:val="30"/>
                <w:lang w:val="en-US" w:eastAsia="zh-CN"/>
              </w:rPr>
              <m:t>i=1</m:t>
            </m:r>
            <m:ctrlPr>
              <w:rPr>
                <w:rFonts w:hint="eastAsia" w:ascii="Cambria Math" w:hAnsi="Cambria Math" w:eastAsia="仿宋" w:cs="仿宋"/>
                <w:color w:val="auto"/>
                <w:sz w:val="30"/>
                <w:szCs w:val="30"/>
                <w:lang w:val="en-US" w:eastAsia="zh-CN"/>
              </w:rPr>
            </m:ctrlPr>
          </m:sub>
          <m:sup>
            <m:r>
              <m:rPr>
                <m:sty m:val="p"/>
              </m:rPr>
              <w:rPr>
                <w:rFonts w:hint="eastAsia" w:ascii="Cambria Math" w:hAnsi="Cambria Math" w:eastAsia="仿宋" w:cs="仿宋"/>
                <w:color w:val="auto"/>
                <w:sz w:val="30"/>
                <w:szCs w:val="30"/>
                <w:lang w:val="en-US" w:eastAsia="zh-CN"/>
              </w:rPr>
              <m:t>n</m:t>
            </m:r>
            <m:ctrlPr>
              <w:rPr>
                <w:rFonts w:hint="eastAsia" w:ascii="Cambria Math" w:hAnsi="Cambria Math" w:eastAsia="仿宋" w:cs="仿宋"/>
                <w:color w:val="auto"/>
                <w:sz w:val="30"/>
                <w:szCs w:val="30"/>
                <w:lang w:val="en-US" w:eastAsia="zh-CN"/>
              </w:rPr>
            </m:ctrlPr>
          </m:sup>
          <m:e>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M</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R</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nary>
              <m:naryPr>
                <m:chr m:val="∑"/>
                <m:limLoc m:val="undOvr"/>
                <m:ctrlPr>
                  <w:rPr>
                    <w:rFonts w:hint="eastAsia" w:ascii="Cambria Math" w:hAnsi="Cambria Math" w:eastAsia="仿宋" w:cs="仿宋"/>
                    <w:color w:val="auto"/>
                    <w:sz w:val="30"/>
                    <w:szCs w:val="30"/>
                    <w:lang w:val="en-US" w:eastAsia="zh-CN"/>
                  </w:rPr>
                </m:ctrlPr>
              </m:naryPr>
              <m:sub>
                <m:r>
                  <m:rPr>
                    <m:sty m:val="p"/>
                  </m:rPr>
                  <w:rPr>
                    <w:rFonts w:hint="eastAsia" w:ascii="Cambria Math" w:hAnsi="Cambria Math" w:eastAsia="仿宋" w:cs="仿宋"/>
                    <w:color w:val="auto"/>
                    <w:sz w:val="30"/>
                    <w:szCs w:val="30"/>
                    <w:lang w:val="en-US" w:eastAsia="zh-CN"/>
                  </w:rPr>
                  <m:t>j=1</m:t>
                </m:r>
                <m:ctrlPr>
                  <w:rPr>
                    <w:rFonts w:hint="eastAsia" w:ascii="Cambria Math" w:hAnsi="Cambria Math" w:eastAsia="仿宋" w:cs="仿宋"/>
                    <w:color w:val="auto"/>
                    <w:sz w:val="30"/>
                    <w:szCs w:val="30"/>
                    <w:lang w:val="en-US" w:eastAsia="zh-CN"/>
                  </w:rPr>
                </m:ctrlPr>
              </m:sub>
              <m:sup>
                <m:r>
                  <m:rPr>
                    <m:sty m:val="p"/>
                  </m:rPr>
                  <w:rPr>
                    <w:rFonts w:hint="eastAsia" w:ascii="Cambria Math" w:hAnsi="Cambria Math" w:eastAsia="仿宋" w:cs="仿宋"/>
                    <w:color w:val="auto"/>
                    <w:sz w:val="30"/>
                    <w:szCs w:val="30"/>
                    <w:lang w:val="en-US" w:eastAsia="zh-CN"/>
                  </w:rPr>
                  <m:t>m</m:t>
                </m:r>
                <m:ctrlPr>
                  <w:rPr>
                    <w:rFonts w:hint="eastAsia" w:ascii="Cambria Math" w:hAnsi="Cambria Math" w:eastAsia="仿宋" w:cs="仿宋"/>
                    <w:color w:val="auto"/>
                    <w:sz w:val="30"/>
                    <w:szCs w:val="30"/>
                    <w:lang w:val="en-US" w:eastAsia="zh-CN"/>
                  </w:rPr>
                </m:ctrlPr>
              </m:sup>
              <m:e>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Q</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j</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e>
            </m:nary>
            <m:ctrlPr>
              <w:rPr>
                <w:rFonts w:hint="eastAsia" w:ascii="Cambria Math" w:hAnsi="Cambria Math" w:eastAsia="仿宋" w:cs="仿宋"/>
                <w:color w:val="auto"/>
                <w:sz w:val="30"/>
                <w:szCs w:val="30"/>
                <w:lang w:val="en-US" w:eastAsia="zh-CN"/>
              </w:rPr>
            </m:ctrlPr>
          </m:e>
        </m:nary>
      </m:oMath>
      <w:r>
        <w:rPr>
          <w:rFonts w:hint="eastAsia" w:hAnsi="Cambria Math" w:eastAsia="仿宋" w:cs="仿宋"/>
          <w:i w:val="0"/>
          <w:color w:val="auto"/>
          <w:sz w:val="30"/>
          <w:szCs w:val="30"/>
          <w:lang w:val="en-US" w:eastAsia="zh-CN"/>
        </w:rPr>
        <w:tab/>
      </w:r>
      <w:r>
        <w:rPr>
          <w:rFonts w:hint="eastAsia" w:hAnsi="Cambria Math" w:eastAsia="仿宋" w:cs="仿宋"/>
          <w:i w:val="0"/>
          <w:color w:val="auto"/>
          <w:sz w:val="30"/>
          <w:szCs w:val="30"/>
          <w:lang w:val="en-US" w:eastAsia="zh-CN"/>
        </w:rPr>
        <w:t>（</w:t>
      </w:r>
      <w:r>
        <w:rPr>
          <w:rFonts w:hint="eastAsia" w:ascii="仿宋" w:hAnsi="仿宋" w:eastAsia="仿宋" w:cs="仿宋"/>
          <w:color w:val="auto"/>
          <w:sz w:val="30"/>
          <w:szCs w:val="30"/>
          <w:lang w:val="en-US" w:eastAsia="zh-CN"/>
        </w:rPr>
        <w:t>1）</w:t>
      </w:r>
    </w:p>
    <w:p w14:paraId="4833C276">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0A9ADA82">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E — 聚苯乙烯综合能耗，单位为千克标准煤（kgce）；</w:t>
      </w:r>
    </w:p>
    <w:p w14:paraId="60BC7957">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M</w:t>
      </w:r>
      <w:r>
        <w:rPr>
          <w:rFonts w:hint="eastAsia" w:ascii="仿宋" w:hAnsi="仿宋" w:eastAsia="仿宋" w:cs="仿宋"/>
          <w:color w:val="auto"/>
          <w:sz w:val="30"/>
          <w:szCs w:val="30"/>
          <w:vertAlign w:val="subscript"/>
          <w:lang w:val="en-US" w:eastAsia="zh-CN"/>
        </w:rPr>
        <w:t>i</w:t>
      </w:r>
      <w:r>
        <w:rPr>
          <w:rFonts w:hint="eastAsia" w:ascii="仿宋" w:hAnsi="仿宋" w:eastAsia="仿宋" w:cs="仿宋"/>
          <w:color w:val="auto"/>
          <w:sz w:val="30"/>
          <w:szCs w:val="30"/>
          <w:lang w:val="en-US" w:eastAsia="zh-CN"/>
        </w:rPr>
        <w:t xml:space="preserve"> — 统计报告期内输入的第i种能源的实物量（电、蒸汽、燃料），向统计界区内输入实物量计为正值，输出计为负值；</w:t>
      </w:r>
    </w:p>
    <w:p w14:paraId="66444EA1">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R</w:t>
      </w:r>
      <w:r>
        <w:rPr>
          <w:rFonts w:hint="eastAsia" w:ascii="仿宋" w:hAnsi="仿宋" w:eastAsia="仿宋" w:cs="仿宋"/>
          <w:color w:val="auto"/>
          <w:sz w:val="30"/>
          <w:szCs w:val="30"/>
          <w:vertAlign w:val="subscript"/>
          <w:lang w:val="en-US" w:eastAsia="zh-CN"/>
        </w:rPr>
        <w:t>i</w:t>
      </w:r>
      <w:r>
        <w:rPr>
          <w:rFonts w:hint="eastAsia" w:ascii="仿宋" w:hAnsi="仿宋" w:eastAsia="仿宋" w:cs="仿宋"/>
          <w:color w:val="auto"/>
          <w:sz w:val="30"/>
          <w:szCs w:val="30"/>
          <w:lang w:val="en-US" w:eastAsia="zh-CN"/>
        </w:rPr>
        <w:t xml:space="preserve"> — 统计报告期内输入的第i种能源的折标准煤系数；</w:t>
      </w:r>
    </w:p>
    <w:p w14:paraId="0CA368D0">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Q</w:t>
      </w:r>
      <w:r>
        <w:rPr>
          <w:rFonts w:hint="eastAsia" w:ascii="仿宋" w:hAnsi="仿宋" w:eastAsia="仿宋" w:cs="仿宋"/>
          <w:color w:val="auto"/>
          <w:sz w:val="30"/>
          <w:szCs w:val="30"/>
          <w:vertAlign w:val="subscript"/>
          <w:lang w:val="en-US" w:eastAsia="zh-CN"/>
        </w:rPr>
        <w:t>j</w:t>
      </w:r>
      <w:r>
        <w:rPr>
          <w:rFonts w:hint="eastAsia" w:ascii="仿宋" w:hAnsi="仿宋" w:eastAsia="仿宋" w:cs="仿宋"/>
          <w:color w:val="auto"/>
          <w:sz w:val="30"/>
          <w:szCs w:val="30"/>
          <w:lang w:val="en-US" w:eastAsia="zh-CN"/>
        </w:rPr>
        <w:t xml:space="preserve"> — 统计报告期内聚苯乙烯与外界交换的第j种能源量，单位为千克标准煤（kgce），向聚苯乙烯输入的能源计为正值，从聚苯乙烯输出的能源计为负值。</w:t>
      </w:r>
    </w:p>
    <w:p w14:paraId="1C92B7D9">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b）聚苯乙烯单位产品综合能耗按式（2）计算：</w:t>
      </w:r>
    </w:p>
    <w:p w14:paraId="39917240">
      <w:pPr>
        <w:keepNext w:val="0"/>
        <w:keepLines w:val="0"/>
        <w:pageBreakBefore w:val="0"/>
        <w:widowControl w:val="0"/>
        <w:tabs>
          <w:tab w:val="right" w:leader="dot" w:pos="4200"/>
        </w:tabs>
        <w:kinsoku/>
        <w:wordWrap/>
        <w:overflowPunct/>
        <w:topLinePunct w:val="0"/>
        <w:autoSpaceDE/>
        <w:autoSpaceDN/>
        <w:bidi w:val="0"/>
        <w:adjustRightInd/>
        <w:snapToGrid w:val="0"/>
        <w:spacing w:line="360" w:lineRule="auto"/>
        <w:jc w:val="right"/>
        <w:textAlignment w:val="auto"/>
        <w:rPr>
          <w:rFonts w:hint="eastAsia" w:ascii="仿宋" w:hAnsi="仿宋" w:eastAsia="仿宋" w:cs="仿宋"/>
          <w:color w:val="auto"/>
          <w:sz w:val="30"/>
          <w:szCs w:val="30"/>
          <w:lang w:val="en-US" w:eastAsia="zh-CN"/>
        </w:rPr>
      </w:pPr>
      <m:oMath>
        <m:r>
          <m:rPr>
            <m:sty m:val="p"/>
          </m:rPr>
          <w:rPr>
            <w:rFonts w:hint="eastAsia" w:ascii="Cambria Math" w:hAnsi="Cambria Math" w:eastAsia="仿宋" w:cs="仿宋"/>
            <w:color w:val="auto"/>
            <w:sz w:val="30"/>
            <w:szCs w:val="30"/>
            <w:lang w:val="en-US" w:eastAsia="zh-CN"/>
          </w:rPr>
          <m:t>e=</m:t>
        </m:r>
        <m:f>
          <m:fPr>
            <m:ctrlPr>
              <w:rPr>
                <w:rFonts w:hint="eastAsia" w:ascii="Cambria Math" w:hAnsi="Cambria Math" w:eastAsia="仿宋" w:cs="仿宋"/>
                <w:color w:val="auto"/>
                <w:sz w:val="30"/>
                <w:szCs w:val="30"/>
                <w:lang w:val="en-US" w:eastAsia="zh-CN"/>
              </w:rPr>
            </m:ctrlPr>
          </m:fPr>
          <m:num>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num>
          <m:den>
            <m:r>
              <m:rPr>
                <m:sty m:val="p"/>
              </m:rPr>
              <w:rPr>
                <w:rFonts w:hint="eastAsia" w:ascii="Cambria Math" w:hAnsi="Cambria Math" w:eastAsia="仿宋" w:cs="仿宋"/>
                <w:color w:val="auto"/>
                <w:sz w:val="30"/>
                <w:szCs w:val="30"/>
                <w:lang w:val="en-US" w:eastAsia="zh-CN"/>
              </w:rPr>
              <m:t>P</m:t>
            </m:r>
            <m:ctrlPr>
              <w:rPr>
                <w:rFonts w:hint="eastAsia" w:ascii="Cambria Math" w:hAnsi="Cambria Math" w:eastAsia="仿宋" w:cs="仿宋"/>
                <w:color w:val="auto"/>
                <w:sz w:val="30"/>
                <w:szCs w:val="30"/>
                <w:lang w:val="en-US" w:eastAsia="zh-CN"/>
              </w:rPr>
            </m:ctrlPr>
          </m:den>
        </m:f>
      </m:oMath>
      <w:r>
        <w:rPr>
          <w:rFonts w:hint="eastAsia" w:hAnsi="Cambria Math" w:eastAsia="仿宋" w:cs="仿宋"/>
          <w:i w:val="0"/>
          <w:color w:val="auto"/>
          <w:sz w:val="30"/>
          <w:szCs w:val="30"/>
          <w:lang w:val="en-US" w:eastAsia="zh-CN"/>
        </w:rPr>
        <w:tab/>
      </w:r>
      <w:r>
        <w:rPr>
          <w:rFonts w:hint="eastAsia" w:hAnsi="Cambria Math" w:eastAsia="仿宋" w:cs="仿宋"/>
          <w:i w:val="0"/>
          <w:color w:val="auto"/>
          <w:sz w:val="30"/>
          <w:szCs w:val="30"/>
          <w:lang w:val="en-US" w:eastAsia="zh-CN"/>
        </w:rPr>
        <w:tab/>
      </w:r>
      <w:r>
        <w:rPr>
          <w:rFonts w:hint="eastAsia" w:hAnsi="Cambria Math" w:eastAsia="仿宋" w:cs="仿宋"/>
          <w:i w:val="0"/>
          <w:color w:val="auto"/>
          <w:sz w:val="30"/>
          <w:szCs w:val="30"/>
          <w:lang w:val="en-US" w:eastAsia="zh-CN"/>
        </w:rPr>
        <w:tab/>
      </w:r>
      <w:r>
        <w:rPr>
          <w:rFonts w:hint="eastAsia" w:hAnsi="Cambria Math" w:eastAsia="仿宋" w:cs="仿宋"/>
          <w:i w:val="0"/>
          <w:color w:val="auto"/>
          <w:sz w:val="30"/>
          <w:szCs w:val="30"/>
          <w:lang w:val="en-US" w:eastAsia="zh-CN"/>
        </w:rPr>
        <w:t>（</w:t>
      </w:r>
      <w:r>
        <w:rPr>
          <w:rFonts w:hint="eastAsia" w:ascii="仿宋" w:hAnsi="仿宋" w:eastAsia="仿宋" w:cs="仿宋"/>
          <w:color w:val="auto"/>
          <w:sz w:val="30"/>
          <w:szCs w:val="30"/>
          <w:lang w:val="en-US" w:eastAsia="zh-CN"/>
        </w:rPr>
        <w:t>2</w:t>
      </w:r>
      <w:r>
        <w:rPr>
          <w:rFonts w:hint="eastAsia" w:hAnsi="Cambria Math" w:eastAsia="仿宋" w:cs="仿宋"/>
          <w:i w:val="0"/>
          <w:color w:val="auto"/>
          <w:sz w:val="30"/>
          <w:szCs w:val="30"/>
          <w:lang w:val="en-US" w:eastAsia="zh-CN"/>
        </w:rPr>
        <w:t>）</w:t>
      </w:r>
    </w:p>
    <w:p w14:paraId="702D13F6">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5C4BE4F0">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e — 聚苯乙烯单位产品综合能耗，单位为千克标准煤/吨（kgce/t）；</w:t>
      </w:r>
    </w:p>
    <w:p w14:paraId="019F9365">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E — 统计报告期内聚苯乙烯综合能耗，单位为千克标准煤（kgce）；</w:t>
      </w:r>
    </w:p>
    <w:p w14:paraId="70A07585">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P — 统计报告期内聚苯乙烯合格产品（应符合GB/T 17529.1 标准要求）的实物产量，单位为吨（t）。</w:t>
      </w:r>
    </w:p>
    <w:p w14:paraId="6761565B">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c）聚苯乙烯产品二氧化碳排放总量按式（3）计算：</w:t>
      </w:r>
    </w:p>
    <w:p w14:paraId="28441222">
      <w:pPr>
        <w:keepNext w:val="0"/>
        <w:keepLines w:val="0"/>
        <w:pageBreakBefore w:val="0"/>
        <w:widowControl w:val="0"/>
        <w:tabs>
          <w:tab w:val="right" w:leader="dot" w:pos="4200"/>
          <w:tab w:val="right" w:leader="dot" w:pos="8400"/>
        </w:tabs>
        <w:kinsoku/>
        <w:wordWrap/>
        <w:overflowPunct/>
        <w:topLinePunct w:val="0"/>
        <w:autoSpaceDE/>
        <w:autoSpaceDN/>
        <w:bidi w:val="0"/>
        <w:adjustRightInd w:val="0"/>
        <w:snapToGrid w:val="0"/>
        <w:ind w:firstLine="560" w:firstLineChars="200"/>
        <w:jc w:val="center"/>
        <w:textAlignment w:val="auto"/>
        <w:rPr>
          <w:rFonts w:hint="eastAsia" w:ascii="仿宋" w:hAnsi="仿宋" w:eastAsia="仿宋" w:cs="仿宋"/>
          <w:color w:val="auto"/>
          <w:sz w:val="28"/>
          <w:szCs w:val="28"/>
          <w:lang w:val="en-US" w:eastAsia="zh-CN"/>
        </w:rPr>
      </w:pPr>
      <m:oMath>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CO</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2</m:t>
                </m:r>
                <m:ctrlPr>
                  <w:rPr>
                    <w:rFonts w:hint="eastAsia" w:ascii="Cambria Math" w:hAnsi="Cambria Math" w:eastAsia="仿宋" w:cs="仿宋"/>
                    <w:color w:val="auto"/>
                    <w:sz w:val="28"/>
                    <w:szCs w:val="28"/>
                    <w:lang w:val="en-US" w:eastAsia="zh-CN"/>
                  </w:rPr>
                </m:ctrlPr>
              </m:sub>
            </m:sSub>
            <m:ctrlPr>
              <w:rPr>
                <w:rFonts w:hint="eastAsia" w:ascii="Cambria Math" w:hAnsi="Cambria Math" w:eastAsia="仿宋" w:cs="仿宋"/>
                <w:color w:val="auto"/>
                <w:sz w:val="28"/>
                <w:szCs w:val="28"/>
                <w:lang w:val="en-US" w:eastAsia="zh-CN"/>
              </w:rPr>
            </m:ctrlPr>
          </m:sub>
        </m:sSub>
        <m:r>
          <m:rPr>
            <m:sty m:val="p"/>
          </m:rPr>
          <w:rPr>
            <w:rFonts w:hint="eastAsia" w:ascii="Cambria Math" w:hAnsi="Cambria Math" w:eastAsia="仿宋" w:cs="仿宋"/>
            <w:color w:val="auto"/>
            <w:sz w:val="28"/>
            <w:szCs w:val="28"/>
            <w:lang w:val="en-US" w:eastAsia="zh-CN"/>
          </w:rPr>
          <m:t>=</m:t>
        </m:r>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燃烧</m:t>
            </m:r>
            <m:ctrlPr>
              <w:rPr>
                <w:rFonts w:hint="eastAsia" w:ascii="Cambria Math" w:hAnsi="Cambria Math" w:eastAsia="仿宋" w:cs="仿宋"/>
                <w:color w:val="auto"/>
                <w:sz w:val="28"/>
                <w:szCs w:val="28"/>
                <w:lang w:val="en-US" w:eastAsia="zh-CN"/>
              </w:rPr>
            </m:ctrlPr>
          </m:sub>
        </m:sSub>
        <m:r>
          <m:rPr>
            <m:sty m:val="p"/>
          </m:rPr>
          <w:rPr>
            <w:rFonts w:hint="eastAsia" w:ascii="Cambria Math" w:hAnsi="Cambria Math" w:eastAsia="仿宋" w:cs="仿宋"/>
            <w:color w:val="auto"/>
            <w:sz w:val="28"/>
            <w:szCs w:val="28"/>
            <w:lang w:val="en-US" w:eastAsia="zh-CN"/>
          </w:rPr>
          <m:t>+</m:t>
        </m:r>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购入电</m:t>
            </m:r>
            <m:ctrlPr>
              <w:rPr>
                <w:rFonts w:hint="eastAsia" w:ascii="Cambria Math" w:hAnsi="Cambria Math" w:eastAsia="仿宋" w:cs="仿宋"/>
                <w:color w:val="auto"/>
                <w:sz w:val="28"/>
                <w:szCs w:val="28"/>
                <w:lang w:val="en-US" w:eastAsia="zh-CN"/>
              </w:rPr>
            </m:ctrlPr>
          </m:sub>
        </m:sSub>
        <m:r>
          <m:rPr>
            <m:sty m:val="p"/>
          </m:rPr>
          <w:rPr>
            <w:rFonts w:hint="eastAsia" w:ascii="Cambria Math" w:hAnsi="Cambria Math" w:eastAsia="仿宋" w:cs="仿宋"/>
            <w:color w:val="auto"/>
            <w:sz w:val="28"/>
            <w:szCs w:val="28"/>
            <w:lang w:val="en-US" w:eastAsia="zh-CN"/>
          </w:rPr>
          <m:t>+</m:t>
        </m:r>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购入热</m:t>
            </m:r>
            <m:ctrlPr>
              <w:rPr>
                <w:rFonts w:hint="eastAsia" w:ascii="Cambria Math" w:hAnsi="Cambria Math" w:eastAsia="仿宋" w:cs="仿宋"/>
                <w:color w:val="auto"/>
                <w:sz w:val="28"/>
                <w:szCs w:val="28"/>
                <w:lang w:val="en-US" w:eastAsia="zh-CN"/>
              </w:rPr>
            </m:ctrlPr>
          </m:sub>
        </m:sSub>
        <m:r>
          <m:rPr>
            <m:sty m:val="p"/>
          </m:rPr>
          <w:rPr>
            <w:rFonts w:hint="eastAsia" w:ascii="Cambria Math" w:hAnsi="Cambria Math" w:eastAsia="仿宋" w:cs="仿宋"/>
            <w:color w:val="auto"/>
            <w:sz w:val="28"/>
            <w:szCs w:val="28"/>
            <w:lang w:val="en-US" w:eastAsia="zh-CN"/>
          </w:rPr>
          <m:t>−</m:t>
        </m:r>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输出电</m:t>
            </m:r>
            <m:ctrlPr>
              <w:rPr>
                <w:rFonts w:hint="eastAsia" w:ascii="Cambria Math" w:hAnsi="Cambria Math" w:eastAsia="仿宋" w:cs="仿宋"/>
                <w:color w:val="auto"/>
                <w:sz w:val="28"/>
                <w:szCs w:val="28"/>
                <w:lang w:val="en-US" w:eastAsia="zh-CN"/>
              </w:rPr>
            </m:ctrlPr>
          </m:sub>
        </m:sSub>
        <m:r>
          <m:rPr>
            <m:sty m:val="p"/>
          </m:rPr>
          <w:rPr>
            <w:rFonts w:hint="eastAsia" w:ascii="Cambria Math" w:hAnsi="Cambria Math" w:eastAsia="仿宋" w:cs="仿宋"/>
            <w:color w:val="auto"/>
            <w:sz w:val="28"/>
            <w:szCs w:val="28"/>
            <w:lang w:val="en-US" w:eastAsia="zh-CN"/>
          </w:rPr>
          <m:t>−</m:t>
        </m:r>
        <m:sSub>
          <m:sSubPr>
            <m:ctrlPr>
              <w:rPr>
                <w:rFonts w:hint="eastAsia" w:ascii="Cambria Math" w:hAnsi="Cambria Math" w:eastAsia="仿宋" w:cs="仿宋"/>
                <w:color w:val="auto"/>
                <w:sz w:val="28"/>
                <w:szCs w:val="28"/>
                <w:lang w:val="en-US" w:eastAsia="zh-CN"/>
              </w:rPr>
            </m:ctrlPr>
          </m:sSubPr>
          <m:e>
            <m:r>
              <m:rPr>
                <m:sty m:val="p"/>
              </m:rPr>
              <w:rPr>
                <w:rFonts w:hint="eastAsia" w:ascii="Cambria Math" w:hAnsi="Cambria Math" w:eastAsia="仿宋" w:cs="仿宋"/>
                <w:color w:val="auto"/>
                <w:sz w:val="28"/>
                <w:szCs w:val="28"/>
                <w:lang w:val="en-US" w:eastAsia="zh-CN"/>
              </w:rPr>
              <m:t>E</m:t>
            </m:r>
            <m:ctrlPr>
              <w:rPr>
                <w:rFonts w:hint="eastAsia" w:ascii="Cambria Math" w:hAnsi="Cambria Math" w:eastAsia="仿宋" w:cs="仿宋"/>
                <w:color w:val="auto"/>
                <w:sz w:val="28"/>
                <w:szCs w:val="28"/>
                <w:lang w:val="en-US" w:eastAsia="zh-CN"/>
              </w:rPr>
            </m:ctrlPr>
          </m:e>
          <m:sub>
            <m:r>
              <m:rPr>
                <m:sty m:val="p"/>
              </m:rPr>
              <w:rPr>
                <w:rFonts w:hint="eastAsia" w:ascii="Cambria Math" w:hAnsi="Cambria Math" w:eastAsia="仿宋" w:cs="仿宋"/>
                <w:color w:val="auto"/>
                <w:sz w:val="28"/>
                <w:szCs w:val="28"/>
                <w:lang w:val="en-US" w:eastAsia="zh-CN"/>
              </w:rPr>
              <m:t>输出热</m:t>
            </m:r>
            <m:ctrlPr>
              <w:rPr>
                <w:rFonts w:hint="eastAsia" w:ascii="Cambria Math" w:hAnsi="Cambria Math" w:eastAsia="仿宋" w:cs="仿宋"/>
                <w:color w:val="auto"/>
                <w:sz w:val="28"/>
                <w:szCs w:val="28"/>
                <w:lang w:val="en-US" w:eastAsia="zh-CN"/>
              </w:rPr>
            </m:ctrlPr>
          </m:sub>
        </m:sSub>
      </m:oMath>
      <w:r>
        <w:rPr>
          <w:rFonts w:hint="eastAsia" w:hAnsi="Cambria Math" w:eastAsia="仿宋" w:cs="仿宋"/>
          <w:i w:val="0"/>
          <w:color w:val="auto"/>
          <w:sz w:val="28"/>
          <w:szCs w:val="28"/>
          <w:lang w:val="en-US" w:eastAsia="zh-CN"/>
        </w:rPr>
        <w:tab/>
      </w:r>
      <w:r>
        <w:rPr>
          <w:rFonts w:hint="eastAsia" w:hAnsi="Cambria Math" w:eastAsia="仿宋" w:cs="仿宋"/>
          <w:i w:val="0"/>
          <w:color w:val="auto"/>
          <w:sz w:val="28"/>
          <w:szCs w:val="28"/>
          <w:lang w:val="en-US" w:eastAsia="zh-CN"/>
        </w:rPr>
        <w:t>（</w:t>
      </w:r>
      <w:r>
        <w:rPr>
          <w:rFonts w:hint="eastAsia" w:ascii="仿宋" w:hAnsi="仿宋" w:eastAsia="仿宋" w:cs="仿宋"/>
          <w:color w:val="auto"/>
          <w:sz w:val="28"/>
          <w:szCs w:val="28"/>
          <w:lang w:val="en-US" w:eastAsia="zh-CN"/>
        </w:rPr>
        <w:t>3）</w:t>
      </w:r>
    </w:p>
    <w:p w14:paraId="4FE1A691">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06539D65">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CO</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2</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聚苯乙烯生产企业二氧化碳排放总量，单位为吨二氧化碳（tCO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63E6B4DE">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燃烧</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统计报告期内化石燃料燃烧产生的二氧化碳排放总量，单位为吨二氧化碳（tCO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53171E9B">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统计报告期内购入电力产生的二氧化碳排放总量，单位为吨二氧化碳（tCO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35100CA4">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统计报告期内购入热力产生的二氧化碳排放总量，单位为吨二氧化碳（tCO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7DEF48FA">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统计报告期内输出电力产生的二氧化碳排放总量，单位为吨二氧化碳（tCO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4224B16F">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统计报告期内输出热力产生的二氧化碳排放总量，单位为吨二氧化碳（tCO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5A90A14F">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d）聚苯乙烯企业化石燃料燃烧排放按式（4） </w:t>
      </w:r>
      <w:r>
        <w:rPr>
          <w:rFonts w:hint="default" w:ascii="Times New Roman" w:hAnsi="Times New Roman" w:eastAsia="仿宋" w:cs="Times New Roman"/>
          <w:color w:val="auto"/>
          <w:sz w:val="30"/>
          <w:szCs w:val="30"/>
          <w:lang w:val="en-US" w:eastAsia="zh-CN"/>
        </w:rPr>
        <w:t>~</w:t>
      </w:r>
      <w:r>
        <w:rPr>
          <w:rFonts w:hint="eastAsia" w:ascii="仿宋" w:hAnsi="仿宋" w:eastAsia="仿宋" w:cs="仿宋"/>
          <w:color w:val="auto"/>
          <w:sz w:val="30"/>
          <w:szCs w:val="30"/>
          <w:lang w:val="en-US" w:eastAsia="zh-CN"/>
        </w:rPr>
        <w:t xml:space="preserve"> 式（6）计算：</w:t>
      </w:r>
    </w:p>
    <w:p w14:paraId="1A8086F3">
      <w:pPr>
        <w:keepNext w:val="0"/>
        <w:keepLines w:val="0"/>
        <w:pageBreakBefore w:val="0"/>
        <w:widowControl w:val="0"/>
        <w:tabs>
          <w:tab w:val="center" w:pos="3990"/>
          <w:tab w:val="right" w:leader="dot" w:pos="5040"/>
          <w:tab w:val="right" w:leader="dot" w:pos="8400"/>
        </w:tabs>
        <w:kinsoku/>
        <w:wordWrap/>
        <w:overflowPunct/>
        <w:topLinePunct w:val="0"/>
        <w:autoSpaceDE/>
        <w:autoSpaceDN/>
        <w:bidi w:val="0"/>
        <w:adjustRightInd/>
        <w:snapToGrid w:val="0"/>
        <w:spacing w:line="360" w:lineRule="auto"/>
        <w:jc w:val="left"/>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燃烧</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nary>
          <m:naryPr>
            <m:chr m:val="∑"/>
            <m:limLoc m:val="undOvr"/>
            <m:ctrlPr>
              <w:rPr>
                <w:rFonts w:hint="eastAsia" w:ascii="Cambria Math" w:hAnsi="Cambria Math" w:eastAsia="仿宋" w:cs="仿宋"/>
                <w:color w:val="auto"/>
                <w:sz w:val="30"/>
                <w:szCs w:val="30"/>
                <w:lang w:val="en-US" w:eastAsia="zh-CN"/>
              </w:rPr>
            </m:ctrlPr>
          </m:naryPr>
          <m:sub>
            <m:r>
              <m:rPr>
                <m:sty m:val="p"/>
              </m:rPr>
              <w:rPr>
                <w:rFonts w:hint="eastAsia" w:ascii="Cambria Math" w:hAnsi="Cambria Math" w:eastAsia="仿宋" w:cs="仿宋"/>
                <w:color w:val="auto"/>
                <w:sz w:val="30"/>
                <w:szCs w:val="30"/>
                <w:lang w:val="en-US" w:eastAsia="zh-CN"/>
              </w:rPr>
              <m:t>i=1</m:t>
            </m:r>
            <m:ctrlPr>
              <w:rPr>
                <w:rFonts w:hint="eastAsia" w:ascii="Cambria Math" w:hAnsi="Cambria Math" w:eastAsia="仿宋" w:cs="仿宋"/>
                <w:color w:val="auto"/>
                <w:sz w:val="30"/>
                <w:szCs w:val="30"/>
                <w:lang w:val="en-US" w:eastAsia="zh-CN"/>
              </w:rPr>
            </m:ctrlPr>
          </m:sub>
          <m:sup>
            <m:r>
              <m:rPr>
                <m:sty m:val="p"/>
              </m:rPr>
              <w:rPr>
                <w:rFonts w:hint="eastAsia" w:ascii="Cambria Math" w:hAnsi="Cambria Math" w:eastAsia="仿宋" w:cs="仿宋"/>
                <w:color w:val="auto"/>
                <w:sz w:val="30"/>
                <w:szCs w:val="30"/>
                <w:lang w:val="en-US" w:eastAsia="zh-CN"/>
              </w:rPr>
              <m:t>j</m:t>
            </m:r>
            <m:ctrlPr>
              <w:rPr>
                <w:rFonts w:hint="eastAsia" w:ascii="Cambria Math" w:hAnsi="Cambria Math" w:eastAsia="仿宋" w:cs="仿宋"/>
                <w:color w:val="auto"/>
                <w:sz w:val="30"/>
                <w:szCs w:val="30"/>
                <w:lang w:val="en-US" w:eastAsia="zh-CN"/>
              </w:rPr>
            </m:ctrlPr>
          </m:sup>
          <m:e>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ctrlPr>
              <w:rPr>
                <w:rFonts w:hint="eastAsia" w:ascii="Cambria Math" w:hAnsi="Cambria Math" w:eastAsia="仿宋" w:cs="仿宋"/>
                <w:color w:val="auto"/>
                <w:sz w:val="30"/>
                <w:szCs w:val="30"/>
                <w:lang w:val="en-US" w:eastAsia="zh-CN"/>
              </w:rPr>
            </m:ctrlPr>
          </m:e>
        </m:nary>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（4）</w:t>
      </w:r>
    </w:p>
    <w:p w14:paraId="6B384750">
      <w:pPr>
        <w:keepNext w:val="0"/>
        <w:keepLines w:val="0"/>
        <w:pageBreakBefore w:val="0"/>
        <w:widowControl w:val="0"/>
        <w:tabs>
          <w:tab w:val="center" w:pos="4200"/>
          <w:tab w:val="right" w:leader="dot" w:pos="8400"/>
        </w:tabs>
        <w:kinsoku/>
        <w:wordWrap/>
        <w:overflowPunct/>
        <w:topLinePunct w:val="0"/>
        <w:autoSpaceDE/>
        <w:autoSpaceDN/>
        <w:bidi w:val="0"/>
        <w:adjustRightInd/>
        <w:snapToGrid w:val="0"/>
        <w:spacing w:line="360" w:lineRule="auto"/>
        <w:jc w:val="right"/>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NCV</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FC</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hAnsi="Cambria Math" w:eastAsia="仿宋" w:cs="仿宋"/>
          <w:i w:val="0"/>
          <w:color w:val="auto"/>
          <w:sz w:val="30"/>
          <w:szCs w:val="30"/>
          <w:lang w:val="en-US" w:eastAsia="zh-CN"/>
        </w:rPr>
        <w:tab/>
      </w:r>
      <w:r>
        <w:rPr>
          <w:rFonts w:hint="eastAsia" w:hAnsi="Cambria Math" w:eastAsia="仿宋" w:cs="仿宋"/>
          <w:i w:val="0"/>
          <w:color w:val="auto"/>
          <w:sz w:val="30"/>
          <w:szCs w:val="30"/>
          <w:lang w:val="en-US" w:eastAsia="zh-CN"/>
        </w:rPr>
        <w:t>（</w:t>
      </w:r>
      <w:r>
        <w:rPr>
          <w:rFonts w:hint="eastAsia" w:ascii="仿宋" w:hAnsi="仿宋" w:eastAsia="仿宋" w:cs="仿宋"/>
          <w:color w:val="auto"/>
          <w:sz w:val="30"/>
          <w:szCs w:val="30"/>
          <w:lang w:val="en-US" w:eastAsia="zh-CN"/>
        </w:rPr>
        <w:t>5）</w:t>
      </w:r>
    </w:p>
    <w:p w14:paraId="46DCB09B">
      <w:pPr>
        <w:keepNext w:val="0"/>
        <w:keepLines w:val="0"/>
        <w:pageBreakBefore w:val="0"/>
        <w:widowControl w:val="0"/>
        <w:tabs>
          <w:tab w:val="center" w:pos="4200"/>
          <w:tab w:val="right" w:leader="dot" w:pos="8400"/>
        </w:tabs>
        <w:kinsoku/>
        <w:wordWrap/>
        <w:overflowPunct/>
        <w:topLinePunct w:val="0"/>
        <w:autoSpaceDE/>
        <w:autoSpaceDN/>
        <w:bidi w:val="0"/>
        <w:adjustRightInd/>
        <w:snapToGrid w:val="0"/>
        <w:spacing w:line="360" w:lineRule="auto"/>
        <w:jc w:val="right"/>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CC</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OF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f>
          <m:fPr>
            <m:ctrlPr>
              <w:rPr>
                <w:rFonts w:hint="eastAsia" w:ascii="Cambria Math" w:hAnsi="Cambria Math" w:eastAsia="仿宋" w:cs="仿宋"/>
                <w:color w:val="auto"/>
                <w:sz w:val="30"/>
                <w:szCs w:val="30"/>
                <w:lang w:val="en-US" w:eastAsia="zh-CN"/>
              </w:rPr>
            </m:ctrlPr>
          </m:fPr>
          <m:num>
            <m:r>
              <m:rPr>
                <m:sty m:val="p"/>
              </m:rPr>
              <w:rPr>
                <w:rFonts w:hint="eastAsia" w:ascii="Cambria Math" w:hAnsi="Cambria Math" w:eastAsia="仿宋" w:cs="仿宋"/>
                <w:color w:val="auto"/>
                <w:sz w:val="30"/>
                <w:szCs w:val="30"/>
                <w:lang w:val="en-US" w:eastAsia="zh-CN"/>
              </w:rPr>
              <m:t>44</m:t>
            </m:r>
            <m:ctrlPr>
              <w:rPr>
                <w:rFonts w:hint="eastAsia" w:ascii="Cambria Math" w:hAnsi="Cambria Math" w:eastAsia="仿宋" w:cs="仿宋"/>
                <w:color w:val="auto"/>
                <w:sz w:val="30"/>
                <w:szCs w:val="30"/>
                <w:lang w:val="en-US" w:eastAsia="zh-CN"/>
              </w:rPr>
            </m:ctrlPr>
          </m:num>
          <m:den>
            <m:r>
              <m:rPr>
                <m:sty m:val="p"/>
              </m:rPr>
              <w:rPr>
                <w:rFonts w:hint="eastAsia" w:ascii="Cambria Math" w:hAnsi="Cambria Math" w:eastAsia="仿宋" w:cs="仿宋"/>
                <w:color w:val="auto"/>
                <w:sz w:val="30"/>
                <w:szCs w:val="30"/>
                <w:lang w:val="en-US" w:eastAsia="zh-CN"/>
              </w:rPr>
              <m:t>12</m:t>
            </m:r>
            <m:ctrlPr>
              <w:rPr>
                <w:rFonts w:hint="eastAsia" w:ascii="Cambria Math" w:hAnsi="Cambria Math" w:eastAsia="仿宋" w:cs="仿宋"/>
                <w:color w:val="auto"/>
                <w:sz w:val="30"/>
                <w:szCs w:val="30"/>
                <w:lang w:val="en-US" w:eastAsia="zh-CN"/>
              </w:rPr>
            </m:ctrlPr>
          </m:den>
        </m:f>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（6）</w:t>
      </w:r>
    </w:p>
    <w:p w14:paraId="1EB4F213">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6092CD2B">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燃烧</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聚苯乙烯生产企业统计报告期内化石燃料燃烧产生的二氧化碳排放总量，单位为吨二氧化碳(tCO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15DA40EE">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r>
          <m:rPr>
            <m:sty m:val="p"/>
          </m:rPr>
          <w:rPr>
            <w:rFonts w:hint="eastAsia" w:ascii="Cambria Math" w:hAnsi="Cambria Math" w:eastAsia="仿宋" w:cs="仿宋"/>
            <w:color w:val="auto"/>
            <w:sz w:val="30"/>
            <w:szCs w:val="30"/>
            <w:lang w:val="en-US" w:eastAsia="zh-CN"/>
          </w:rPr>
          <m:t>j</m:t>
        </m:r>
      </m:oMath>
      <w:r>
        <w:rPr>
          <w:rFonts w:hint="eastAsia" w:ascii="仿宋" w:hAnsi="仿宋" w:eastAsia="仿宋" w:cs="仿宋"/>
          <w:color w:val="auto"/>
          <w:sz w:val="30"/>
          <w:szCs w:val="30"/>
          <w:lang w:val="en-US" w:eastAsia="zh-CN"/>
        </w:rPr>
        <w:t xml:space="preserve"> — 统计报告期内消耗的化石燃料种类；</w:t>
      </w:r>
    </w:p>
    <w:p w14:paraId="278E51B9">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种化石燃料用作化石燃料燃烧的活动数据，不包括生产过程产生的副产品或可燃废气被回收并作为化石燃料燃烧的部分，单位为吉焦（GJ）；</w:t>
      </w:r>
    </w:p>
    <w:p w14:paraId="1DBB94AA">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种化石燃料的二氧化碳排放因子，单位为吨二氧化碳/吉焦（tCO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/GJ）；</w:t>
      </w:r>
    </w:p>
    <w:p w14:paraId="22710513">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NCV</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种化石燃料的平均低位发热量，对于固体或液体燃料，单位为吉焦/吨（GJ/t）；对于气体燃料，单位为吉焦/万标立方米（GJ/万Nm</w:t>
      </w:r>
      <w:r>
        <w:rPr>
          <w:rFonts w:hint="eastAsia" w:ascii="仿宋" w:hAnsi="仿宋" w:eastAsia="仿宋" w:cs="仿宋"/>
          <w:color w:val="auto"/>
          <w:sz w:val="30"/>
          <w:szCs w:val="30"/>
          <w:vertAlign w:val="superscript"/>
          <w:lang w:val="en-US" w:eastAsia="zh-CN"/>
        </w:rPr>
        <w:t>3</w:t>
      </w:r>
      <w:r>
        <w:rPr>
          <w:rFonts w:hint="eastAsia" w:ascii="仿宋" w:hAnsi="仿宋" w:eastAsia="仿宋" w:cs="仿宋"/>
          <w:color w:val="auto"/>
          <w:sz w:val="30"/>
          <w:szCs w:val="30"/>
          <w:lang w:val="en-US" w:eastAsia="zh-CN"/>
        </w:rPr>
        <w:t>）；</w:t>
      </w:r>
    </w:p>
    <w:p w14:paraId="31834F82">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FC</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种化石燃料用作化石燃料燃烧的消耗量，对于固体或液体燃料，单位为吨（t）；对于气体燃料，单位为万标立方米（万Nm</w:t>
      </w:r>
      <w:r>
        <w:rPr>
          <w:rFonts w:hint="eastAsia" w:ascii="仿宋" w:hAnsi="仿宋" w:eastAsia="仿宋" w:cs="仿宋"/>
          <w:color w:val="auto"/>
          <w:sz w:val="30"/>
          <w:szCs w:val="30"/>
          <w:vertAlign w:val="superscript"/>
          <w:lang w:val="en-US" w:eastAsia="zh-CN"/>
        </w:rPr>
        <w:t>3</w:t>
      </w:r>
      <w:r>
        <w:rPr>
          <w:rFonts w:hint="eastAsia" w:ascii="仿宋" w:hAnsi="仿宋" w:eastAsia="仿宋" w:cs="仿宋"/>
          <w:color w:val="auto"/>
          <w:sz w:val="30"/>
          <w:szCs w:val="30"/>
          <w:lang w:val="en-US" w:eastAsia="zh-CN"/>
        </w:rPr>
        <w:t>）；</w:t>
      </w:r>
    </w:p>
    <w:p w14:paraId="5EEB2ED1">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CC</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种化石燃料的单位热值含碳量，单位为吨碳/吉焦（tC/GJ）；</w:t>
      </w:r>
    </w:p>
    <w:p w14:paraId="16DAED02">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OF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i</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统计报告期内第 i 种化石燃料的碳氧化率，单位为%。</w:t>
      </w:r>
    </w:p>
    <w:p w14:paraId="68019412">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e）聚苯乙烯的工艺生产过程中，采用聚乙烯为原料，经聚合反应后生产聚苯乙烯，过程排放为含碳物料的加工转换损耗，损耗量较少可忽略不计，因此，本标准不计入过程排放。</w:t>
      </w:r>
    </w:p>
    <w:p w14:paraId="26AA2567">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f）购入的电力、热力产生的排放按式（7）、式（8）计算：</w:t>
      </w:r>
    </w:p>
    <w:p w14:paraId="061496AE">
      <w:pPr>
        <w:keepNext w:val="0"/>
        <w:keepLines w:val="0"/>
        <w:pageBreakBefore w:val="0"/>
        <w:widowControl w:val="0"/>
        <w:tabs>
          <w:tab w:val="center" w:pos="3990"/>
          <w:tab w:val="right" w:leader="dot" w:pos="5040"/>
          <w:tab w:val="right" w:leader="dot" w:pos="8400"/>
        </w:tabs>
        <w:kinsoku/>
        <w:wordWrap/>
        <w:overflowPunct/>
        <w:topLinePunct w:val="0"/>
        <w:autoSpaceDE/>
        <w:autoSpaceDN/>
        <w:bidi w:val="0"/>
        <w:adjustRightInd/>
        <w:snapToGrid w:val="0"/>
        <w:spacing w:line="360" w:lineRule="auto"/>
        <w:jc w:val="left"/>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购入电</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购入电</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电</m:t>
            </m:r>
            <m:ctrlPr>
              <w:rPr>
                <w:rFonts w:hint="eastAsia" w:ascii="Cambria Math" w:hAnsi="Cambria Math" w:eastAsia="仿宋" w:cs="仿宋"/>
                <w:color w:val="auto"/>
                <w:sz w:val="30"/>
                <w:szCs w:val="30"/>
                <w:lang w:val="en-US" w:eastAsia="zh-CN"/>
              </w:rPr>
            </m:ctrlPr>
          </m:sub>
        </m:sSub>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（7）</w:t>
      </w:r>
    </w:p>
    <w:p w14:paraId="64A02C07">
      <w:pPr>
        <w:keepNext w:val="0"/>
        <w:keepLines w:val="0"/>
        <w:pageBreakBefore w:val="0"/>
        <w:widowControl w:val="0"/>
        <w:tabs>
          <w:tab w:val="center" w:pos="4200"/>
          <w:tab w:val="right" w:leader="dot" w:pos="8400"/>
        </w:tabs>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购入热</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购入热</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热</m:t>
            </m:r>
            <m:ctrlPr>
              <w:rPr>
                <w:rFonts w:hint="eastAsia" w:ascii="Cambria Math" w:hAnsi="Cambria Math" w:eastAsia="仿宋" w:cs="仿宋"/>
                <w:color w:val="auto"/>
                <w:sz w:val="30"/>
                <w:szCs w:val="30"/>
                <w:lang w:val="en-US" w:eastAsia="zh-CN"/>
              </w:rPr>
            </m:ctrlPr>
          </m:sub>
        </m:sSub>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（8）</w:t>
      </w:r>
    </w:p>
    <w:p w14:paraId="10BDFEDE">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0FB3A78E">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聚苯乙烯生产企业购入电力所产生的二氧化碳排放总量，单位为吨二氧化碳(tCO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4423433D">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统计报告期内购入电力量，单位为兆瓦时（MWh）；</w:t>
      </w:r>
    </w:p>
    <w:p w14:paraId="5689D131">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电力二氧化碳排放因子，单位为吨二氧化碳/兆瓦时（tCO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/MWh）；</w:t>
      </w:r>
    </w:p>
    <w:p w14:paraId="152EAA35">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聚苯乙烯生产企业购入热力所产生的二氧化碳排放总量，单位为吨二氧化碳(tCO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482C3033">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购入热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统计报告期内购入热力量，单位为吉焦（GJ）；</w:t>
      </w:r>
    </w:p>
    <w:p w14:paraId="66D2ED48">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热力二氧化碳排放因子，单位为吨二氧化碳/兆瓦时（tCO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/GJ）。</w:t>
      </w:r>
    </w:p>
    <w:p w14:paraId="37ED9FEE">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g）输出的电力、热力产生的排放按式（9）、式（10）计算：</w:t>
      </w:r>
    </w:p>
    <w:p w14:paraId="3444BAE1">
      <w:pPr>
        <w:keepNext w:val="0"/>
        <w:keepLines w:val="0"/>
        <w:pageBreakBefore w:val="0"/>
        <w:widowControl w:val="0"/>
        <w:tabs>
          <w:tab w:val="center" w:pos="4200"/>
          <w:tab w:val="right" w:leader="dot" w:pos="8400"/>
        </w:tabs>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输出电</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输出电</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电</m:t>
            </m:r>
            <m:ctrlPr>
              <w:rPr>
                <w:rFonts w:hint="eastAsia" w:ascii="Cambria Math" w:hAnsi="Cambria Math" w:eastAsia="仿宋" w:cs="仿宋"/>
                <w:color w:val="auto"/>
                <w:sz w:val="30"/>
                <w:szCs w:val="30"/>
                <w:lang w:val="en-US" w:eastAsia="zh-CN"/>
              </w:rPr>
            </m:ctrlPr>
          </m:sub>
        </m:sSub>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（9）</w:t>
      </w:r>
    </w:p>
    <w:p w14:paraId="4F4A8845">
      <w:pPr>
        <w:keepNext w:val="0"/>
        <w:keepLines w:val="0"/>
        <w:pageBreakBefore w:val="0"/>
        <w:widowControl w:val="0"/>
        <w:tabs>
          <w:tab w:val="center" w:pos="4200"/>
          <w:tab w:val="right" w:leader="dot" w:pos="8400"/>
        </w:tabs>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输出热</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输出热</m:t>
            </m:r>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热</m:t>
            </m:r>
            <m:ctrlPr>
              <w:rPr>
                <w:rFonts w:hint="eastAsia" w:ascii="Cambria Math" w:hAnsi="Cambria Math" w:eastAsia="仿宋" w:cs="仿宋"/>
                <w:color w:val="auto"/>
                <w:sz w:val="30"/>
                <w:szCs w:val="30"/>
                <w:lang w:val="en-US" w:eastAsia="zh-CN"/>
              </w:rPr>
            </m:ctrlPr>
          </m:sub>
        </m:sSub>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（10）</w:t>
      </w:r>
    </w:p>
    <w:p w14:paraId="1197C707">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5415A1A8">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聚苯乙烯生产企业输出电力所产生的二氧化碳排放总量，单位为吨二氧化碳(tCO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1AA635CD">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统计报告期内输出电力量，单位为兆瓦时（MWh）；</w:t>
      </w:r>
    </w:p>
    <w:p w14:paraId="5C320286">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电</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电力二氧化碳排放因子，单位为吨二氧化碳/兆瓦时（tCO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/MWh）；</w:t>
      </w:r>
    </w:p>
    <w:p w14:paraId="1B081C17">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聚苯乙烯生产企业输出热力所产生的二氧化碳排放总量，单位为吨二氧化碳(tCO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6E831990">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AD</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输出热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统计报告期内输出热力量，单位为吉焦（GJ）；</w:t>
      </w:r>
    </w:p>
    <w:p w14:paraId="79ACF53F">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EF</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热</m:t>
            </m:r>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热力二氧化碳排放因子，单位为吨二氧化碳/兆瓦时（tCO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/GJ）。</w:t>
      </w:r>
    </w:p>
    <w:p w14:paraId="72E7BE09">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h）聚苯乙烯单位产品二氧化碳排放量按式（13）计算：</w:t>
      </w:r>
    </w:p>
    <w:p w14:paraId="7BC9F8E7">
      <w:pPr>
        <w:keepNext w:val="0"/>
        <w:keepLines w:val="0"/>
        <w:pageBreakBefore w:val="0"/>
        <w:widowControl w:val="0"/>
        <w:tabs>
          <w:tab w:val="center" w:pos="4200"/>
          <w:tab w:val="right" w:leader="dot" w:pos="8400"/>
        </w:tabs>
        <w:kinsoku/>
        <w:wordWrap/>
        <w:overflowPunct/>
        <w:topLinePunct w:val="0"/>
        <w:autoSpaceDE/>
        <w:autoSpaceDN/>
        <w:bidi w:val="0"/>
        <w:adjustRightInd/>
        <w:snapToGrid w:val="0"/>
        <w:spacing w:line="360" w:lineRule="auto"/>
        <w:jc w:val="center"/>
        <w:textAlignment w:val="auto"/>
        <w:rPr>
          <w:rFonts w:hint="eastAsia" w:ascii="仿宋" w:hAnsi="仿宋" w:eastAsia="仿宋" w:cs="仿宋"/>
          <w:color w:val="auto"/>
          <w:sz w:val="30"/>
          <w:szCs w:val="30"/>
          <w:lang w:val="en-US" w:eastAsia="zh-CN"/>
        </w:rPr>
      </w:pPr>
      <w:r>
        <w:rPr>
          <w:rFonts w:hint="eastAsia" w:hAnsi="Cambria Math" w:eastAsia="仿宋" w:cs="仿宋"/>
          <w:i w:val="0"/>
          <w:color w:val="auto"/>
          <w:sz w:val="30"/>
          <w:szCs w:val="30"/>
          <w:lang w:val="en-US" w:eastAsia="zh-CN"/>
        </w:rPr>
        <w:tab/>
      </w: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CO</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2</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sub>
        </m:sSub>
        <m:r>
          <m:rPr>
            <m:sty m:val="p"/>
          </m:rPr>
          <w:rPr>
            <w:rFonts w:hint="eastAsia" w:ascii="Cambria Math" w:hAnsi="Cambria Math" w:eastAsia="仿宋" w:cs="仿宋"/>
            <w:color w:val="auto"/>
            <w:sz w:val="30"/>
            <w:szCs w:val="30"/>
            <w:lang w:val="en-US" w:eastAsia="zh-CN"/>
          </w:rPr>
          <m:t>=</m:t>
        </m:r>
        <m:f>
          <m:fPr>
            <m:ctrlPr>
              <w:rPr>
                <w:rFonts w:hint="eastAsia" w:ascii="Cambria Math" w:hAnsi="Cambria Math" w:eastAsia="仿宋" w:cs="仿宋"/>
                <w:color w:val="auto"/>
                <w:sz w:val="30"/>
                <w:szCs w:val="30"/>
                <w:lang w:val="en-US" w:eastAsia="zh-CN"/>
              </w:rPr>
            </m:ctrlPr>
          </m:fPr>
          <m:num>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CO</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2</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num>
          <m:den>
            <m:r>
              <m:rPr>
                <m:sty m:val="p"/>
              </m:rPr>
              <w:rPr>
                <w:rFonts w:hint="eastAsia" w:ascii="Cambria Math" w:hAnsi="Cambria Math" w:eastAsia="仿宋" w:cs="仿宋"/>
                <w:color w:val="auto"/>
                <w:sz w:val="30"/>
                <w:szCs w:val="30"/>
                <w:lang w:val="en-US" w:eastAsia="zh-CN"/>
              </w:rPr>
              <m:t>P</m:t>
            </m:r>
            <m:ctrlPr>
              <w:rPr>
                <w:rFonts w:hint="eastAsia" w:ascii="Cambria Math" w:hAnsi="Cambria Math" w:eastAsia="仿宋" w:cs="仿宋"/>
                <w:color w:val="auto"/>
                <w:sz w:val="30"/>
                <w:szCs w:val="30"/>
                <w:lang w:val="en-US" w:eastAsia="zh-CN"/>
              </w:rPr>
            </m:ctrlPr>
          </m:den>
        </m:f>
      </m:oMath>
      <w:r>
        <w:rPr>
          <w:rFonts w:hint="eastAsia" w:hAnsi="Cambria Math" w:eastAsia="仿宋" w:cs="仿宋"/>
          <w:i w:val="0"/>
          <w:color w:val="auto"/>
          <w:sz w:val="30"/>
          <w:szCs w:val="30"/>
          <w:lang w:val="en-US" w:eastAsia="zh-CN"/>
        </w:rPr>
        <w:tab/>
      </w:r>
      <w:r>
        <w:rPr>
          <w:rFonts w:hint="eastAsia" w:ascii="仿宋" w:hAnsi="仿宋" w:eastAsia="仿宋" w:cs="仿宋"/>
          <w:color w:val="auto"/>
          <w:sz w:val="30"/>
          <w:szCs w:val="30"/>
          <w:lang w:val="en-US" w:eastAsia="zh-CN"/>
        </w:rPr>
        <w:t>（13）</w:t>
      </w:r>
    </w:p>
    <w:p w14:paraId="1B4DD991">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式中：</w:t>
      </w:r>
    </w:p>
    <w:p w14:paraId="65ABCE27">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CO</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2</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聚苯乙烯单位产品二氧化碳排放量，单位为千克二氧化碳/吨（kgCO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/t）；</w:t>
      </w:r>
    </w:p>
    <w:p w14:paraId="30CCA173">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m:oMath>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E</m:t>
            </m:r>
            <m:ctrlPr>
              <w:rPr>
                <w:rFonts w:hint="eastAsia" w:ascii="Cambria Math" w:hAnsi="Cambria Math" w:eastAsia="仿宋" w:cs="仿宋"/>
                <w:color w:val="auto"/>
                <w:sz w:val="30"/>
                <w:szCs w:val="30"/>
                <w:lang w:val="en-US" w:eastAsia="zh-CN"/>
              </w:rPr>
            </m:ctrlPr>
          </m:e>
          <m:sub>
            <m:sSub>
              <m:sSubPr>
                <m:ctrlPr>
                  <w:rPr>
                    <w:rFonts w:hint="eastAsia" w:ascii="Cambria Math" w:hAnsi="Cambria Math" w:eastAsia="仿宋" w:cs="仿宋"/>
                    <w:color w:val="auto"/>
                    <w:sz w:val="30"/>
                    <w:szCs w:val="30"/>
                    <w:lang w:val="en-US" w:eastAsia="zh-CN"/>
                  </w:rPr>
                </m:ctrlPr>
              </m:sSubPr>
              <m:e>
                <m:r>
                  <m:rPr>
                    <m:sty m:val="p"/>
                  </m:rPr>
                  <w:rPr>
                    <w:rFonts w:hint="eastAsia" w:ascii="Cambria Math" w:hAnsi="Cambria Math" w:eastAsia="仿宋" w:cs="仿宋"/>
                    <w:color w:val="auto"/>
                    <w:sz w:val="30"/>
                    <w:szCs w:val="30"/>
                    <w:lang w:val="en-US" w:eastAsia="zh-CN"/>
                  </w:rPr>
                  <m:t>CO</m:t>
                </m:r>
                <m:ctrlPr>
                  <w:rPr>
                    <w:rFonts w:hint="eastAsia" w:ascii="Cambria Math" w:hAnsi="Cambria Math" w:eastAsia="仿宋" w:cs="仿宋"/>
                    <w:color w:val="auto"/>
                    <w:sz w:val="30"/>
                    <w:szCs w:val="30"/>
                    <w:lang w:val="en-US" w:eastAsia="zh-CN"/>
                  </w:rPr>
                </m:ctrlPr>
              </m:e>
              <m:sub>
                <m:r>
                  <m:rPr>
                    <m:sty m:val="p"/>
                  </m:rPr>
                  <w:rPr>
                    <w:rFonts w:hint="eastAsia" w:ascii="Cambria Math" w:hAnsi="Cambria Math" w:eastAsia="仿宋" w:cs="仿宋"/>
                    <w:color w:val="auto"/>
                    <w:sz w:val="30"/>
                    <w:szCs w:val="30"/>
                    <w:lang w:val="en-US" w:eastAsia="zh-CN"/>
                  </w:rPr>
                  <m:t>2</m:t>
                </m:r>
                <m:ctrlPr>
                  <w:rPr>
                    <w:rFonts w:hint="eastAsia" w:ascii="Cambria Math" w:hAnsi="Cambria Math" w:eastAsia="仿宋" w:cs="仿宋"/>
                    <w:color w:val="auto"/>
                    <w:sz w:val="30"/>
                    <w:szCs w:val="30"/>
                    <w:lang w:val="en-US" w:eastAsia="zh-CN"/>
                  </w:rPr>
                </m:ctrlPr>
              </m:sub>
            </m:sSub>
            <m:ctrlPr>
              <w:rPr>
                <w:rFonts w:hint="eastAsia" w:ascii="Cambria Math" w:hAnsi="Cambria Math" w:eastAsia="仿宋" w:cs="仿宋"/>
                <w:color w:val="auto"/>
                <w:sz w:val="30"/>
                <w:szCs w:val="30"/>
                <w:lang w:val="en-US" w:eastAsia="zh-CN"/>
              </w:rPr>
            </m:ctrlPr>
          </m:sub>
        </m:sSub>
      </m:oMath>
      <w:r>
        <w:rPr>
          <w:rFonts w:hint="eastAsia" w:ascii="仿宋" w:hAnsi="仿宋" w:eastAsia="仿宋" w:cs="仿宋"/>
          <w:color w:val="auto"/>
          <w:sz w:val="30"/>
          <w:szCs w:val="30"/>
          <w:lang w:val="en-US" w:eastAsia="zh-CN"/>
        </w:rPr>
        <w:t xml:space="preserve"> — 聚苯乙烯生产企业二氧化碳排放总量，单位为吨二氧化碳(tCO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w:t>
      </w:r>
    </w:p>
    <w:p w14:paraId="09C48095">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P — 统计报告期内聚苯乙烯合格产品（应符合GB/T 17529.1 标准要求）的实物产量，单位为吨（t）</w:t>
      </w:r>
    </w:p>
    <w:p w14:paraId="1ADB0631">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i）各种能源应按低位发热量折算为标准煤。各种能源的发热量以企业在报告期内的实测值为准，蒸汽、蒸汽凝结水按照实测的焓值、压力计算，电力采用当量值折算标准煤。没有实测条件的，可参考各种能源折标准煤参考系数进行折算。</w:t>
      </w:r>
    </w:p>
    <w:p w14:paraId="29DAE934">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j）统计和计算过程中各种燃料的单位热值含碳量、碳氧化率，相关物料的排放因子应优先采用企业报告期内的实测值，燃料含碳量的测定应遵循 GB/T 476、SH/T 0656、GB/T 13610、GB/T 8984等相关标准；没有实测条件的，可参考相关参数缺省值。</w:t>
      </w:r>
    </w:p>
    <w:p w14:paraId="2103A37E">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k）电网年平均供电排放因子应选用国家主管部门最近年份公布的相应区域数据。热力排放因子优先采用供热单位的实测值，数据不可得时按0.11tCO</w:t>
      </w:r>
      <w:r>
        <w:rPr>
          <w:rFonts w:hint="eastAsia" w:ascii="仿宋" w:hAnsi="仿宋" w:eastAsia="仿宋" w:cs="仿宋"/>
          <w:color w:val="auto"/>
          <w:sz w:val="30"/>
          <w:szCs w:val="30"/>
          <w:vertAlign w:val="subscript"/>
          <w:lang w:val="en-US" w:eastAsia="zh-CN"/>
        </w:rPr>
        <w:t>2</w:t>
      </w:r>
      <w:r>
        <w:rPr>
          <w:rFonts w:hint="eastAsia" w:ascii="仿宋" w:hAnsi="仿宋" w:eastAsia="仿宋" w:cs="仿宋"/>
          <w:color w:val="auto"/>
          <w:sz w:val="30"/>
          <w:szCs w:val="30"/>
          <w:lang w:val="en-US" w:eastAsia="zh-CN"/>
        </w:rPr>
        <w:t>/GJ计算。</w:t>
      </w:r>
    </w:p>
    <w:p w14:paraId="0B29F90B">
      <w:pPr>
        <w:keepNext w:val="0"/>
        <w:keepLines w:val="0"/>
        <w:pageBreakBefore w:val="0"/>
        <w:widowControl w:val="0"/>
        <w:kinsoku/>
        <w:wordWrap/>
        <w:overflowPunct/>
        <w:topLinePunct w:val="0"/>
        <w:autoSpaceDE/>
        <w:autoSpaceDN/>
        <w:bidi w:val="0"/>
        <w:snapToGrid w:val="0"/>
        <w:spacing w:line="360" w:lineRule="auto"/>
        <w:ind w:firstLine="602" w:firstLineChars="200"/>
        <w:textAlignment w:val="auto"/>
        <w:outlineLvl w:val="2"/>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4.限额指标值的确定方法</w:t>
      </w:r>
    </w:p>
    <w:p w14:paraId="06EADFDC">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标准编制工作组依据《单位产品能源消耗限额编制通则》（GB/T 12723-2024）以及《石化化工行业单位产品碳排放限额编制导则（征求意见稿）》、《工业企业温室气体排放核算和报告通则》（GB/T 32150-2025）、《碳排放核算与报告要求 第10部分：化工生产企业》（GB/T 32151.10-2025）、《中国化工生产企业温室气体排放核算方法与报告指南（试行）》等相关核算方法，采用三种方法综合确定限额指标，三种方法分别是：</w:t>
      </w:r>
    </w:p>
    <w:p w14:paraId="6B2ED8EC">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一是根据企业调研与样本收集，结合相关核算方法及分级要求，直接分析计算得到；</w:t>
      </w:r>
    </w:p>
    <w:p w14:paraId="26CEC015">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二是平均值法。根据方法一的数据分级，如该等级的数值不是唯一的数据，而是一个区间，则采用这个区间的平均值。</w:t>
      </w:r>
    </w:p>
    <w:p w14:paraId="3B785B02">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三是专家咨询法。</w:t>
      </w:r>
    </w:p>
    <w:p w14:paraId="1828B7C2">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具体方法如下：</w:t>
      </w:r>
    </w:p>
    <w:p w14:paraId="16A3553E">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（1）方法一和方法二结合</w:t>
      </w:r>
    </w:p>
    <w:p w14:paraId="5C39A420">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因本次收集数据包含企业近几年实际生产数据，本次分析按全部收集数据纳入统计分析和有多年数据的企业取多年平均值统计两种途径分析。确定后的能效等级若是唯一的数据，而是一个区间，则采用这个区间的平均值作为该等级限额数值。</w:t>
      </w:r>
    </w:p>
    <w:p w14:paraId="260727BE">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根据《单位产品能源消耗限额编制通则》（GB/T 12723-2024）6.3、6.4的要求和《国家发展改革委 市场监管总局关于进一步加强节能标准更新升级和应用实施的通知》（发改环资规〔2023〕269号）的相关规定：重点用能行业强制性能耗限额标准分为3级，其中1级能耗最低。</w:t>
      </w:r>
    </w:p>
    <w:p w14:paraId="5DEAD0C2">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a）单位产品能源消耗限额等级的1级，是促进现有生产企业（装置）采用先进技术、工艺和设备，使单位产品能耗达到国际先进水平的指标。原则上选取本行业前5%能效先进水平，或者选取行业“领跑者”的能效水平为取值原则，并具有一定的技术前瞻性。</w:t>
      </w:r>
    </w:p>
    <w:p w14:paraId="21AFD7EC">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b）单位产品能源消耗限额等级的2级，确定为单位产品能源消耗准入值，是评价新建及改扩建企业（装置）是否能够达到准入能耗要求的指标，应基于技术发展趋势和节能潜力分析制定，以代表本行业前20%左右国内能效先进水平为取值原则。</w:t>
      </w:r>
    </w:p>
    <w:p w14:paraId="0DE419F5">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c）单位产品能源消耗限额等级的3级，确定为单位产品能源消耗限定值，是评价现有（存量）生产企业（装置）单位产品能耗是否满足最低能耗要求的指标，应以淘汰一定比例的现有高能耗落后产能为取值原则。对高耗能、高排放、高污染以及产能过剩行业，在基于节能改造的经济可行性分析基础上淘汰比例不应低于20%。</w:t>
      </w:r>
    </w:p>
    <w:p w14:paraId="7FE507D7">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d）单位产品碳排放限额等级的1级，是促进现有生产企业（装置）采用先进技术、工艺和设备，达到国际先进水平的指标。以覆盖本行业统计范围内前5%的先进水平为取值原则。</w:t>
      </w:r>
    </w:p>
    <w:p w14:paraId="41972AB7">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e）单位产品碳排放等级的2级，应基于技术发展趋势和减排潜力分析制定。以覆盖本行业统计范围内前20%左右的先进水平为取值原则。</w:t>
      </w:r>
    </w:p>
    <w:p w14:paraId="570A6DF2">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f）单位产品碳排放等级的3级，以覆盖本行业统计范围内前80%左右企业的碳排放水平为取值原则。</w:t>
      </w:r>
    </w:p>
    <w:p w14:paraId="64BA562B">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（2）方法二：专家咨询法</w:t>
      </w:r>
    </w:p>
    <w:p w14:paraId="1A0A5F0F">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编制组调研过程中，以体现行业先进性的原则，广泛征求并获取行业主要生产企业及研究机构专家意见，专家对产品限额指标的建议。</w:t>
      </w:r>
    </w:p>
    <w:p w14:paraId="483D4AB3">
      <w:pPr>
        <w:keepNext w:val="0"/>
        <w:keepLines w:val="0"/>
        <w:pageBreakBefore w:val="0"/>
        <w:widowControl w:val="0"/>
        <w:kinsoku/>
        <w:wordWrap/>
        <w:overflowPunct/>
        <w:topLinePunct w:val="0"/>
        <w:autoSpaceDE/>
        <w:autoSpaceDN/>
        <w:bidi w:val="0"/>
        <w:snapToGrid w:val="0"/>
        <w:spacing w:line="360" w:lineRule="auto"/>
        <w:ind w:firstLine="602" w:firstLineChars="200"/>
        <w:textAlignment w:val="auto"/>
        <w:outlineLvl w:val="2"/>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5.限额指标值等级的选取</w:t>
      </w:r>
    </w:p>
    <w:p w14:paraId="0D5020FB">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根据对广东省聚苯乙烯生产企业的调研，目前广东省内主要的聚苯乙烯生产企业有星辉环保材料股份有限公司、中国石油化工股份有限公司广州分公司、惠州仁信新材料股份有限公司、惠州兴达石化工业有限公司、珠海壬庚新材料有限公司、湛江新中美化工有限公司等企业，总产能约166万吨。</w:t>
      </w:r>
    </w:p>
    <w:p w14:paraId="13AF2DB6">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广东省外聚苯乙烯生产企业主要包括浙江川化股份有限公司、常州诚达新材料科技有限公司、漳州奇美化工有限公司、安徽昊源化工集团有限公司、无锡兴达泡塑新材料股份有限公司、上海赛科石油化工有限责任公司等，通过相关文献检索及企业数据报道等方式收集相关企业资料。</w:t>
      </w:r>
    </w:p>
    <w:p w14:paraId="7A9F300B">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聚苯乙烯主要分为通用级聚苯乙烯（GPPS）、高抗冲聚苯乙烯（HIPS）和可发性聚苯乙烯（EPS），国内主要生产工艺为本体聚合法和悬浮聚合法。本体聚合法在国内GPPS和HIPS生产装置的应用占比达90%以上，EPS主要采用悬浮聚合法。另外，GPPS和HIPS通常共用生产线，但HIPS与GPPS在生产工序上的差别仅在配料工段，HIPS的原料聚丁二烯橡胶需溶解后再进入聚合反应釜，因此相比GPPS，多了溶胶工段，后续生产流程和工艺参数基本一致。根据调研数据，HIPS的配料工段比GPPS约多5%的能耗，该占比相对较小，且目前省内大部分企业均未对这两种产品的能耗进行分开计量，因此，本标准的调研数据样本是基于GPPS和HIPS的平均值，将GPPS和HIPS的能效等级统一考虑。综合以上分析，本标准将聚苯乙烯分为GPPS和HIPS、EPS两类产品进行能效等级分析。</w:t>
      </w:r>
    </w:p>
    <w:p w14:paraId="224BDC7E">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根据广东省已建成企业近几年的实际运行数据及省外存量及在建项目相关公开资料，结合文献查阅及对聚苯乙烯装置用能影响因素分析，本标准对各企业数据进行分析。</w:t>
      </w:r>
    </w:p>
    <w:p w14:paraId="48973F3A">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（1）聚苯乙烯单位产品综合能耗</w:t>
      </w:r>
    </w:p>
    <w:p w14:paraId="69F1A754">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a）全部数据纳入统计</w:t>
      </w:r>
    </w:p>
    <w:p w14:paraId="29E81641">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有多年运行数据的，每年运行情况纳入统计数据。其中，GPPS和HIPS结果见图1，EPS结果见图2，并结合方法一对聚苯乙烯单位产品综合能耗限额指标值等级的选取结果见表1。</w:t>
      </w:r>
    </w:p>
    <w:p w14:paraId="3692BA02">
      <w:pPr>
        <w:pStyle w:val="2"/>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仿宋" w:hAnsi="仿宋" w:eastAsia="仿宋" w:cs="仿宋"/>
          <w:color w:val="auto"/>
          <w:kern w:val="2"/>
          <w:sz w:val="30"/>
          <w:szCs w:val="30"/>
          <w:highlight w:val="none"/>
          <w:lang w:val="en-US" w:eastAsia="zh-CN" w:bidi="ar-SA"/>
        </w:rPr>
      </w:pPr>
      <w:r>
        <w:rPr>
          <w:color w:val="auto"/>
          <w:sz w:val="30"/>
        </w:rPr>
        <mc:AlternateContent>
          <mc:Choice Requires="wps">
            <w:drawing>
              <wp:anchor distT="0" distB="0" distL="114300" distR="114300" simplePos="0" relativeHeight="251660288" behindDoc="0" locked="0" layoutInCell="1" allowOverlap="1">
                <wp:simplePos x="0" y="0"/>
                <wp:positionH relativeFrom="column">
                  <wp:posOffset>167005</wp:posOffset>
                </wp:positionH>
                <wp:positionV relativeFrom="paragraph">
                  <wp:posOffset>1351915</wp:posOffset>
                </wp:positionV>
                <wp:extent cx="442595" cy="2193290"/>
                <wp:effectExtent l="0" t="0" r="14605" b="16510"/>
                <wp:wrapNone/>
                <wp:docPr id="9" name="文本框 9"/>
                <wp:cNvGraphicFramePr/>
                <a:graphic xmlns:a="http://schemas.openxmlformats.org/drawingml/2006/main">
                  <a:graphicData uri="http://schemas.microsoft.com/office/word/2010/wordprocessingShape">
                    <wps:wsp>
                      <wps:cNvSpPr txBox="1"/>
                      <wps:spPr>
                        <a:xfrm>
                          <a:off x="0" y="0"/>
                          <a:ext cx="442595" cy="2193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98D193E">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聚苯乙烯单位产品综合能耗</w:t>
                            </w:r>
                          </w:p>
                          <w:p w14:paraId="735CF908">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kgce/t</w:t>
                            </w:r>
                          </w:p>
                        </w:txbxContent>
                      </wps:txbx>
                      <wps:bodyPr rot="0" spcFirstLastPara="0" vertOverflow="overflow" horzOverflow="overflow" vert="vert270" wrap="square" lIns="0" tIns="0" rIns="0" bIns="0" numCol="1" spcCol="0" rtlCol="0" fromWordArt="0" anchor="ctr" anchorCtr="0" forceAA="0" compatLnSpc="1">
                        <a:noAutofit/>
                      </wps:bodyPr>
                    </wps:wsp>
                  </a:graphicData>
                </a:graphic>
              </wp:anchor>
            </w:drawing>
          </mc:Choice>
          <mc:Fallback>
            <w:pict>
              <v:shape id="_x0000_s1026" o:spid="_x0000_s1026" o:spt="202" type="#_x0000_t202" style="position:absolute;left:0pt;margin-left:13.15pt;margin-top:106.45pt;height:172.7pt;width:34.85pt;z-index:251660288;v-text-anchor:middle;mso-width-relative:page;mso-height-relative:page;" fillcolor="#FFFFFF [3201]" filled="t" stroked="f" coordsize="21600,21600" o:gfxdata="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WDh5PNkAAAAJAQAADwAAAAAA&#10;AAABACAAAAAiAAAAZHJzL2Rvd25yZXYueG1sUEsBAhQAFAAAAAgAh07iQDRlYqNLAgAAhAQAAA4A&#10;AAAAAAAAAQAgAAAAKAEAAGRycy9lMm9Eb2MueG1sUEsFBgAAAAAGAAYAWQEAAOUFAAAAAA==&#10;">
                <v:fill on="t" focussize="0,0"/>
                <v:stroke on="f" weight="0.5pt"/>
                <v:imagedata o:title=""/>
                <o:lock v:ext="edit" aspectratio="f"/>
                <v:textbox inset="0mm,0mm,0mm,0mm" style="layout-flow:vertical;mso-layout-flow-alt:bottom-to-top;">
                  <w:txbxContent>
                    <w:p w14:paraId="598D193E">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聚苯乙烯单位产品综合能耗</w:t>
                      </w:r>
                    </w:p>
                    <w:p w14:paraId="735CF908">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kgce/t</w:t>
                      </w:r>
                    </w:p>
                  </w:txbxContent>
                </v:textbox>
              </v:shape>
            </w:pict>
          </mc:Fallback>
        </mc:AlternateContent>
      </w:r>
      <w:r>
        <w:rPr>
          <w:color w:val="auto"/>
        </w:rPr>
        <w:drawing>
          <wp:inline distT="0" distB="0" distL="114300" distR="114300">
            <wp:extent cx="5052695" cy="4695190"/>
            <wp:effectExtent l="4445" t="4445" r="10160" b="62865"/>
            <wp:docPr id="12" name="图表 4" descr="7b0a202020202263686172745265734964223a20223230343736373632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39D97DA">
      <w:pPr>
        <w:pStyle w:val="2"/>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default" w:ascii="仿宋" w:hAnsi="仿宋" w:eastAsia="仿宋" w:cs="仿宋"/>
          <w:color w:val="auto"/>
          <w:kern w:val="2"/>
          <w:sz w:val="30"/>
          <w:szCs w:val="30"/>
          <w:highlight w:val="none"/>
          <w:lang w:val="en-US" w:eastAsia="zh-CN" w:bidi="ar-SA"/>
        </w:rPr>
      </w:pPr>
      <w:r>
        <w:rPr>
          <w:rFonts w:hint="default" w:ascii="仿宋" w:hAnsi="仿宋" w:eastAsia="仿宋" w:cs="仿宋"/>
          <w:color w:val="auto"/>
          <w:kern w:val="2"/>
          <w:sz w:val="30"/>
          <w:szCs w:val="30"/>
          <w:highlight w:val="none"/>
          <w:lang w:val="en-US" w:eastAsia="zh-CN" w:bidi="ar-SA"/>
        </w:rPr>
        <w:t>图</w:t>
      </w:r>
      <w:r>
        <w:rPr>
          <w:rFonts w:hint="eastAsia" w:ascii="仿宋" w:hAnsi="仿宋" w:eastAsia="仿宋" w:cs="仿宋"/>
          <w:color w:val="auto"/>
          <w:kern w:val="2"/>
          <w:sz w:val="30"/>
          <w:szCs w:val="30"/>
          <w:highlight w:val="none"/>
          <w:lang w:val="en-US" w:eastAsia="zh-CN" w:bidi="ar-SA"/>
        </w:rPr>
        <w:t>1</w:t>
      </w:r>
      <w:r>
        <w:rPr>
          <w:rFonts w:hint="default" w:ascii="仿宋" w:hAnsi="仿宋" w:eastAsia="仿宋" w:cs="仿宋"/>
          <w:color w:val="auto"/>
          <w:kern w:val="2"/>
          <w:sz w:val="30"/>
          <w:szCs w:val="30"/>
          <w:highlight w:val="none"/>
          <w:lang w:val="en-US" w:eastAsia="zh-CN" w:bidi="ar-SA"/>
        </w:rPr>
        <w:t xml:space="preserve"> 调研企业单位产品综合能耗数据统计（GPPS/HIPS）</w:t>
      </w:r>
    </w:p>
    <w:p w14:paraId="51BC3084">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default" w:ascii="仿宋" w:hAnsi="仿宋" w:eastAsia="仿宋" w:cs="仿宋"/>
          <w:color w:val="auto"/>
          <w:kern w:val="2"/>
          <w:sz w:val="30"/>
          <w:szCs w:val="30"/>
          <w:highlight w:val="none"/>
          <w:lang w:val="en-US" w:eastAsia="zh-CN" w:bidi="ar-SA"/>
        </w:rPr>
      </w:pPr>
      <w:r>
        <w:rPr>
          <w:rFonts w:hint="default" w:ascii="仿宋" w:hAnsi="仿宋" w:eastAsia="仿宋" w:cs="仿宋"/>
          <w:color w:val="auto"/>
          <w:kern w:val="2"/>
          <w:sz w:val="30"/>
          <w:szCs w:val="30"/>
          <w:highlight w:val="none"/>
          <w:lang w:val="en-US" w:eastAsia="zh-CN" w:bidi="ar-SA"/>
        </w:rPr>
        <mc:AlternateContent>
          <mc:Choice Requires="wps">
            <w:drawing>
              <wp:anchor distT="0" distB="0" distL="114300" distR="114300" simplePos="0" relativeHeight="251661312" behindDoc="0" locked="0" layoutInCell="1" allowOverlap="1">
                <wp:simplePos x="0" y="0"/>
                <wp:positionH relativeFrom="column">
                  <wp:posOffset>219075</wp:posOffset>
                </wp:positionH>
                <wp:positionV relativeFrom="paragraph">
                  <wp:posOffset>260350</wp:posOffset>
                </wp:positionV>
                <wp:extent cx="323850" cy="2465070"/>
                <wp:effectExtent l="0" t="0" r="0" b="11430"/>
                <wp:wrapNone/>
                <wp:docPr id="6" name="文本框 6"/>
                <wp:cNvGraphicFramePr/>
                <a:graphic xmlns:a="http://schemas.openxmlformats.org/drawingml/2006/main">
                  <a:graphicData uri="http://schemas.microsoft.com/office/word/2010/wordprocessingShape">
                    <wps:wsp>
                      <wps:cNvSpPr txBox="1"/>
                      <wps:spPr>
                        <a:xfrm>
                          <a:off x="0" y="0"/>
                          <a:ext cx="323850" cy="246507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6FF1E93">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聚苯乙烯单位产品综合能耗</w:t>
                            </w:r>
                          </w:p>
                          <w:p w14:paraId="00226F18">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kgce/t</w:t>
                            </w:r>
                          </w:p>
                        </w:txbxContent>
                      </wps:txbx>
                      <wps:bodyPr rot="0" spcFirstLastPara="0" vertOverflow="overflow" horzOverflow="overflow" vert="vert270" wrap="square" lIns="0" tIns="0" rIns="0" bIns="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5pt;margin-top:20.5pt;height:194.1pt;width:25.5pt;z-index:251661312;v-text-anchor:middle;mso-width-relative:page;mso-height-relative:page;" fillcolor="#FFFFFF [3201]" filled="t" stroked="f" coordsize="21600,21600" o:gfxdata="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FixkX1gAAAAgBAAAPAAAAAAAAAAEAIAAA&#10;ACIAAABkcnMvZG93bnJldi54bWxQSwECFAAUAAAACACHTuJAVz3QKkcCAACEBAAADgAAAAAAAAAB&#10;ACAAAAAlAQAAZHJzL2Uyb0RvYy54bWxQSwUGAAAAAAYABgBZAQAA3gUAAAAA&#10;">
                <v:fill on="t" focussize="0,0"/>
                <v:stroke on="f" weight="0.5pt"/>
                <v:imagedata o:title=""/>
                <o:lock v:ext="edit" aspectratio="f"/>
                <v:textbox inset="0mm,0mm,0mm,0mm" style="layout-flow:vertical;mso-layout-flow-alt:bottom-to-top;">
                  <w:txbxContent>
                    <w:p w14:paraId="26FF1E93">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聚苯乙烯单位产品综合能耗</w:t>
                      </w:r>
                    </w:p>
                    <w:p w14:paraId="00226F18">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kgce/t</w:t>
                      </w:r>
                    </w:p>
                  </w:txbxContent>
                </v:textbox>
              </v:shape>
            </w:pict>
          </mc:Fallback>
        </mc:AlternateContent>
      </w:r>
      <w:r>
        <w:rPr>
          <w:color w:val="auto"/>
        </w:rPr>
        <w:drawing>
          <wp:inline distT="0" distB="0" distL="114300" distR="114300">
            <wp:extent cx="4946015" cy="3194685"/>
            <wp:effectExtent l="4445" t="4445" r="21590" b="58420"/>
            <wp:docPr id="16" name="图表 1" descr="7b0a202020202263686172745265734964223a20223230343736373632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C8D8A00">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default" w:ascii="仿宋" w:hAnsi="仿宋" w:eastAsia="仿宋" w:cs="仿宋"/>
          <w:color w:val="auto"/>
          <w:kern w:val="2"/>
          <w:sz w:val="30"/>
          <w:szCs w:val="30"/>
          <w:highlight w:val="none"/>
          <w:lang w:val="en-US" w:eastAsia="zh-CN" w:bidi="ar-SA"/>
        </w:rPr>
      </w:pPr>
      <w:r>
        <w:rPr>
          <w:rFonts w:hint="default" w:ascii="仿宋" w:hAnsi="仿宋" w:eastAsia="仿宋" w:cs="仿宋"/>
          <w:color w:val="auto"/>
          <w:kern w:val="2"/>
          <w:sz w:val="30"/>
          <w:szCs w:val="30"/>
          <w:highlight w:val="none"/>
          <w:lang w:val="en-US" w:eastAsia="zh-CN" w:bidi="ar-SA"/>
        </w:rPr>
        <w:t>图</w:t>
      </w:r>
      <w:r>
        <w:rPr>
          <w:rFonts w:hint="eastAsia" w:ascii="仿宋" w:hAnsi="仿宋" w:eastAsia="仿宋" w:cs="仿宋"/>
          <w:color w:val="auto"/>
          <w:kern w:val="2"/>
          <w:sz w:val="30"/>
          <w:szCs w:val="30"/>
          <w:highlight w:val="none"/>
          <w:lang w:val="en-US" w:eastAsia="zh-CN" w:bidi="ar-SA"/>
        </w:rPr>
        <w:t>2</w:t>
      </w:r>
      <w:r>
        <w:rPr>
          <w:rFonts w:hint="default" w:ascii="仿宋" w:hAnsi="仿宋" w:eastAsia="仿宋" w:cs="仿宋"/>
          <w:color w:val="auto"/>
          <w:kern w:val="2"/>
          <w:sz w:val="30"/>
          <w:szCs w:val="30"/>
          <w:highlight w:val="none"/>
          <w:lang w:val="en-US" w:eastAsia="zh-CN" w:bidi="ar-SA"/>
        </w:rPr>
        <w:t xml:space="preserve"> 调研企业单位产品综合能耗数据统计（EPS）</w:t>
      </w:r>
    </w:p>
    <w:p w14:paraId="422FDDDD">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表1 聚苯乙烯单位产品综合能耗限额等级</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4"/>
        <w:gridCol w:w="2154"/>
        <w:gridCol w:w="2226"/>
        <w:gridCol w:w="2135"/>
      </w:tblGrid>
      <w:tr w14:paraId="37CC2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6" w:type="pct"/>
            <w:vMerge w:val="restart"/>
            <w:tcBorders>
              <w:tl2br w:val="nil"/>
              <w:tr2bl w:val="nil"/>
            </w:tcBorders>
            <w:noWrap w:val="0"/>
            <w:vAlign w:val="center"/>
          </w:tcPr>
          <w:p w14:paraId="6A8F26B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产品类型</w:t>
            </w:r>
          </w:p>
        </w:tc>
        <w:tc>
          <w:tcPr>
            <w:tcW w:w="3823" w:type="pct"/>
            <w:gridSpan w:val="3"/>
            <w:tcBorders>
              <w:tl2br w:val="nil"/>
              <w:tr2bl w:val="nil"/>
            </w:tcBorders>
            <w:noWrap w:val="0"/>
            <w:vAlign w:val="center"/>
          </w:tcPr>
          <w:p w14:paraId="30A1763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单位产品综合能耗限额等级</w:t>
            </w:r>
          </w:p>
          <w:p w14:paraId="6B8E438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kgce/t</w:t>
            </w:r>
          </w:p>
        </w:tc>
      </w:tr>
      <w:tr w14:paraId="4010F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6" w:type="pct"/>
            <w:vMerge w:val="continue"/>
            <w:tcBorders>
              <w:tl2br w:val="nil"/>
              <w:tr2bl w:val="nil"/>
            </w:tcBorders>
            <w:noWrap w:val="0"/>
            <w:vAlign w:val="center"/>
          </w:tcPr>
          <w:p w14:paraId="5C6851D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b/>
                <w:bCs/>
                <w:color w:val="auto"/>
                <w:sz w:val="24"/>
                <w:szCs w:val="24"/>
                <w:highlight w:val="none"/>
                <w:lang w:val="en-US" w:eastAsia="zh-CN"/>
              </w:rPr>
            </w:pPr>
          </w:p>
        </w:tc>
        <w:tc>
          <w:tcPr>
            <w:tcW w:w="1264" w:type="pct"/>
            <w:tcBorders>
              <w:tl2br w:val="nil"/>
              <w:tr2bl w:val="nil"/>
            </w:tcBorders>
            <w:noWrap w:val="0"/>
            <w:vAlign w:val="center"/>
          </w:tcPr>
          <w:p w14:paraId="1D06081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306" w:type="pct"/>
            <w:tcBorders>
              <w:tl2br w:val="nil"/>
              <w:tr2bl w:val="nil"/>
            </w:tcBorders>
            <w:noWrap w:val="0"/>
            <w:vAlign w:val="center"/>
          </w:tcPr>
          <w:p w14:paraId="5448DDB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252" w:type="pct"/>
            <w:tcBorders>
              <w:tl2br w:val="nil"/>
              <w:tr2bl w:val="nil"/>
            </w:tcBorders>
            <w:noWrap w:val="0"/>
            <w:vAlign w:val="center"/>
          </w:tcPr>
          <w:p w14:paraId="009D711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49BDC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6" w:type="pct"/>
            <w:tcBorders>
              <w:tl2br w:val="nil"/>
              <w:tr2bl w:val="nil"/>
            </w:tcBorders>
            <w:noWrap w:val="0"/>
            <w:vAlign w:val="center"/>
          </w:tcPr>
          <w:p w14:paraId="6A64BD3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通用级聚苯乙烯（GPPS）/高抗冲聚苯乙烯（HIPS）</w:t>
            </w:r>
          </w:p>
        </w:tc>
        <w:tc>
          <w:tcPr>
            <w:tcW w:w="1264" w:type="pct"/>
            <w:tcBorders>
              <w:tl2br w:val="nil"/>
              <w:tr2bl w:val="nil"/>
            </w:tcBorders>
            <w:noWrap w:val="0"/>
            <w:vAlign w:val="center"/>
          </w:tcPr>
          <w:p w14:paraId="0BAC222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≤22.30</w:t>
            </w:r>
          </w:p>
        </w:tc>
        <w:tc>
          <w:tcPr>
            <w:tcW w:w="1306" w:type="pct"/>
            <w:tcBorders>
              <w:tl2br w:val="nil"/>
              <w:tr2bl w:val="nil"/>
            </w:tcBorders>
            <w:noWrap w:val="0"/>
            <w:vAlign w:val="center"/>
          </w:tcPr>
          <w:p w14:paraId="52FE6AA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≤24.30</w:t>
            </w:r>
          </w:p>
        </w:tc>
        <w:tc>
          <w:tcPr>
            <w:tcW w:w="1252" w:type="pct"/>
            <w:tcBorders>
              <w:tl2br w:val="nil"/>
              <w:tr2bl w:val="nil"/>
            </w:tcBorders>
            <w:noWrap w:val="0"/>
            <w:vAlign w:val="center"/>
          </w:tcPr>
          <w:p w14:paraId="6B35EC6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≤37.80</w:t>
            </w:r>
          </w:p>
        </w:tc>
      </w:tr>
      <w:tr w14:paraId="40FA8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6" w:type="pct"/>
            <w:tcBorders>
              <w:tl2br w:val="nil"/>
              <w:tr2bl w:val="nil"/>
            </w:tcBorders>
            <w:noWrap w:val="0"/>
            <w:vAlign w:val="center"/>
          </w:tcPr>
          <w:p w14:paraId="24217AA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可发性聚苯乙烯（EPS）</w:t>
            </w:r>
          </w:p>
        </w:tc>
        <w:tc>
          <w:tcPr>
            <w:tcW w:w="1264" w:type="pct"/>
            <w:tcBorders>
              <w:tl2br w:val="nil"/>
              <w:tr2bl w:val="nil"/>
            </w:tcBorders>
            <w:noWrap w:val="0"/>
            <w:vAlign w:val="center"/>
          </w:tcPr>
          <w:p w14:paraId="42A8CA0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≤21.40</w:t>
            </w:r>
          </w:p>
        </w:tc>
        <w:tc>
          <w:tcPr>
            <w:tcW w:w="1306" w:type="pct"/>
            <w:tcBorders>
              <w:tl2br w:val="nil"/>
              <w:tr2bl w:val="nil"/>
            </w:tcBorders>
            <w:noWrap w:val="0"/>
            <w:vAlign w:val="center"/>
          </w:tcPr>
          <w:p w14:paraId="2FCEABB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≤23.30</w:t>
            </w:r>
          </w:p>
        </w:tc>
        <w:tc>
          <w:tcPr>
            <w:tcW w:w="1252" w:type="pct"/>
            <w:tcBorders>
              <w:tl2br w:val="nil"/>
              <w:tr2bl w:val="nil"/>
            </w:tcBorders>
            <w:noWrap w:val="0"/>
            <w:vAlign w:val="center"/>
          </w:tcPr>
          <w:p w14:paraId="481B6CF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≤29.20</w:t>
            </w:r>
          </w:p>
        </w:tc>
      </w:tr>
    </w:tbl>
    <w:p w14:paraId="0B222427">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p>
    <w:p w14:paraId="5E75D3EC">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b）以调研企业为统计对象</w:t>
      </w:r>
    </w:p>
    <w:p w14:paraId="0331775D">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default" w:ascii="仿宋" w:hAnsi="仿宋" w:eastAsia="仿宋" w:cs="仿宋"/>
          <w:color w:val="auto"/>
          <w:kern w:val="2"/>
          <w:sz w:val="30"/>
          <w:szCs w:val="30"/>
          <w:highlight w:val="none"/>
          <w:lang w:val="en-US" w:eastAsia="zh-CN" w:bidi="ar-SA"/>
        </w:rPr>
        <w:t>有多年生产数据的</w:t>
      </w:r>
      <w:r>
        <w:rPr>
          <w:rFonts w:hint="eastAsia" w:ascii="仿宋" w:hAnsi="仿宋" w:eastAsia="仿宋" w:cs="仿宋"/>
          <w:color w:val="auto"/>
          <w:kern w:val="2"/>
          <w:sz w:val="30"/>
          <w:szCs w:val="30"/>
          <w:highlight w:val="none"/>
          <w:lang w:val="en-US" w:eastAsia="zh-CN" w:bidi="ar-SA"/>
        </w:rPr>
        <w:t>企业</w:t>
      </w:r>
      <w:r>
        <w:rPr>
          <w:rFonts w:hint="default" w:ascii="仿宋" w:hAnsi="仿宋" w:eastAsia="仿宋" w:cs="仿宋"/>
          <w:color w:val="auto"/>
          <w:kern w:val="2"/>
          <w:sz w:val="30"/>
          <w:szCs w:val="30"/>
          <w:highlight w:val="none"/>
          <w:lang w:val="en-US" w:eastAsia="zh-CN" w:bidi="ar-SA"/>
        </w:rPr>
        <w:t>，取平均值计算。其中，GPPS和HIPS结果见图</w:t>
      </w:r>
      <w:r>
        <w:rPr>
          <w:rFonts w:hint="eastAsia" w:ascii="仿宋" w:hAnsi="仿宋" w:eastAsia="仿宋" w:cs="仿宋"/>
          <w:color w:val="auto"/>
          <w:kern w:val="2"/>
          <w:sz w:val="30"/>
          <w:szCs w:val="30"/>
          <w:highlight w:val="none"/>
          <w:lang w:val="en-US" w:eastAsia="zh-CN" w:bidi="ar-SA"/>
        </w:rPr>
        <w:t>3</w:t>
      </w:r>
      <w:r>
        <w:rPr>
          <w:rFonts w:hint="default" w:ascii="仿宋" w:hAnsi="仿宋" w:eastAsia="仿宋" w:cs="仿宋"/>
          <w:color w:val="auto"/>
          <w:kern w:val="2"/>
          <w:sz w:val="30"/>
          <w:szCs w:val="30"/>
          <w:highlight w:val="none"/>
          <w:lang w:val="en-US" w:eastAsia="zh-CN" w:bidi="ar-SA"/>
        </w:rPr>
        <w:t>，EPS结果见图</w:t>
      </w:r>
      <w:r>
        <w:rPr>
          <w:rFonts w:hint="eastAsia" w:ascii="仿宋" w:hAnsi="仿宋" w:eastAsia="仿宋" w:cs="仿宋"/>
          <w:color w:val="auto"/>
          <w:kern w:val="2"/>
          <w:sz w:val="30"/>
          <w:szCs w:val="30"/>
          <w:highlight w:val="none"/>
          <w:lang w:val="en-US" w:eastAsia="zh-CN" w:bidi="ar-SA"/>
        </w:rPr>
        <w:t>4</w:t>
      </w:r>
      <w:r>
        <w:rPr>
          <w:rFonts w:hint="default" w:ascii="仿宋" w:hAnsi="仿宋" w:eastAsia="仿宋" w:cs="仿宋"/>
          <w:color w:val="auto"/>
          <w:kern w:val="2"/>
          <w:sz w:val="30"/>
          <w:szCs w:val="30"/>
          <w:highlight w:val="none"/>
          <w:lang w:val="en-US" w:eastAsia="zh-CN" w:bidi="ar-SA"/>
        </w:rPr>
        <w:t>，并结合方法一对聚苯乙烯单位产品综合能耗限额指标值等级的选取结果见表</w:t>
      </w:r>
      <w:r>
        <w:rPr>
          <w:rFonts w:hint="eastAsia" w:ascii="仿宋" w:hAnsi="仿宋" w:eastAsia="仿宋" w:cs="仿宋"/>
          <w:color w:val="auto"/>
          <w:kern w:val="2"/>
          <w:sz w:val="30"/>
          <w:szCs w:val="30"/>
          <w:highlight w:val="none"/>
          <w:lang w:val="en-US" w:eastAsia="zh-CN" w:bidi="ar-SA"/>
        </w:rPr>
        <w:t>2</w:t>
      </w:r>
      <w:r>
        <w:rPr>
          <w:rFonts w:hint="default" w:ascii="仿宋" w:hAnsi="仿宋" w:eastAsia="仿宋" w:cs="仿宋"/>
          <w:color w:val="auto"/>
          <w:kern w:val="2"/>
          <w:sz w:val="30"/>
          <w:szCs w:val="30"/>
          <w:highlight w:val="none"/>
          <w:lang w:val="en-US" w:eastAsia="zh-CN" w:bidi="ar-SA"/>
        </w:rPr>
        <w:t>。</w:t>
      </w:r>
    </w:p>
    <w:p w14:paraId="0A16E42D">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mc:AlternateContent>
          <mc:Choice Requires="wps">
            <w:drawing>
              <wp:anchor distT="0" distB="0" distL="114300" distR="114300" simplePos="0" relativeHeight="251662336" behindDoc="0" locked="0" layoutInCell="1" allowOverlap="1">
                <wp:simplePos x="0" y="0"/>
                <wp:positionH relativeFrom="column">
                  <wp:posOffset>45085</wp:posOffset>
                </wp:positionH>
                <wp:positionV relativeFrom="paragraph">
                  <wp:posOffset>621030</wp:posOffset>
                </wp:positionV>
                <wp:extent cx="442595" cy="2193290"/>
                <wp:effectExtent l="0" t="0" r="14605" b="16510"/>
                <wp:wrapNone/>
                <wp:docPr id="4" name="文本框 4"/>
                <wp:cNvGraphicFramePr/>
                <a:graphic xmlns:a="http://schemas.openxmlformats.org/drawingml/2006/main">
                  <a:graphicData uri="http://schemas.microsoft.com/office/word/2010/wordprocessingShape">
                    <wps:wsp>
                      <wps:cNvSpPr txBox="1"/>
                      <wps:spPr>
                        <a:xfrm>
                          <a:off x="1480820" y="3743960"/>
                          <a:ext cx="442595" cy="2193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C92395E">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聚苯乙烯单位产品综合能耗</w:t>
                            </w:r>
                          </w:p>
                          <w:p w14:paraId="089631BB">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kgce/t</w:t>
                            </w:r>
                          </w:p>
                        </w:txbxContent>
                      </wps:txbx>
                      <wps:bodyPr rot="0" spcFirstLastPara="0" vertOverflow="overflow" horzOverflow="overflow" vert="vert270" wrap="square" lIns="0" tIns="0" rIns="0" bIns="0" numCol="1" spcCol="0" rtlCol="0" fromWordArt="0" anchor="ctr" anchorCtr="0" forceAA="0" compatLnSpc="1">
                        <a:noAutofit/>
                      </wps:bodyPr>
                    </wps:wsp>
                  </a:graphicData>
                </a:graphic>
              </wp:anchor>
            </w:drawing>
          </mc:Choice>
          <mc:Fallback>
            <w:pict>
              <v:shape id="_x0000_s1026" o:spid="_x0000_s1026" o:spt="202" type="#_x0000_t202" style="position:absolute;left:0pt;margin-left:3.55pt;margin-top:48.9pt;height:172.7pt;width:34.85pt;z-index:251662336;v-text-anchor:middle;mso-width-relative:page;mso-height-relative:page;" fillcolor="#FFFFFF [3201]" filled="t" stroked="f" coordsize="21600,21600" o:gfxdata="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GX6RuDXAAAA&#10;BwEAAA8AAAAAAAAAAQAgAAAAIgAAAGRycy9kb3ducmV2LnhtbFBLAQIUABQAAAAIAIdO4kBxMG4w&#10;VwIAAJAEAAAOAAAAAAAAAAEAIAAAACYBAABkcnMvZTJvRG9jLnhtbFBLBQYAAAAABgAGAFkBAADv&#10;BQAAAAA=&#10;">
                <v:fill on="t" focussize="0,0"/>
                <v:stroke on="f" weight="0.5pt"/>
                <v:imagedata o:title=""/>
                <o:lock v:ext="edit" aspectratio="f"/>
                <v:textbox inset="0mm,0mm,0mm,0mm" style="layout-flow:vertical;mso-layout-flow-alt:bottom-to-top;">
                  <w:txbxContent>
                    <w:p w14:paraId="4C92395E">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聚苯乙烯单位产品综合能耗</w:t>
                      </w:r>
                    </w:p>
                    <w:p w14:paraId="089631BB">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kgce/t</w:t>
                      </w:r>
                    </w:p>
                  </w:txbxContent>
                </v:textbox>
              </v:shape>
            </w:pict>
          </mc:Fallback>
        </mc:AlternateContent>
      </w:r>
      <w:r>
        <w:rPr>
          <w:color w:val="auto"/>
        </w:rPr>
        <w:drawing>
          <wp:inline distT="0" distB="0" distL="114300" distR="114300">
            <wp:extent cx="5217160" cy="3453130"/>
            <wp:effectExtent l="5080" t="4445" r="16510" b="47625"/>
            <wp:docPr id="8" name="图表 7" descr="7b0a202020202263686172745265734964223a20223230343736373632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9E53DC3">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图3 调研企业单位产品综合能耗数据统计（GPPS/HIPS）</w:t>
      </w:r>
    </w:p>
    <w:p w14:paraId="20E9DEBD">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p>
    <w:p w14:paraId="244E3AAA">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mc:AlternateContent>
          <mc:Choice Requires="wps">
            <w:drawing>
              <wp:anchor distT="0" distB="0" distL="114300" distR="114300" simplePos="0" relativeHeight="251663360" behindDoc="0" locked="0" layoutInCell="1" allowOverlap="1">
                <wp:simplePos x="0" y="0"/>
                <wp:positionH relativeFrom="column">
                  <wp:posOffset>78740</wp:posOffset>
                </wp:positionH>
                <wp:positionV relativeFrom="paragraph">
                  <wp:posOffset>348615</wp:posOffset>
                </wp:positionV>
                <wp:extent cx="442595" cy="2193290"/>
                <wp:effectExtent l="0" t="0" r="14605" b="16510"/>
                <wp:wrapNone/>
                <wp:docPr id="11" name="文本框 11"/>
                <wp:cNvGraphicFramePr/>
                <a:graphic xmlns:a="http://schemas.openxmlformats.org/drawingml/2006/main">
                  <a:graphicData uri="http://schemas.microsoft.com/office/word/2010/wordprocessingShape">
                    <wps:wsp>
                      <wps:cNvSpPr txBox="1"/>
                      <wps:spPr>
                        <a:xfrm>
                          <a:off x="0" y="0"/>
                          <a:ext cx="442595" cy="2193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240F470">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聚苯乙烯单位产品综合能耗</w:t>
                            </w:r>
                          </w:p>
                          <w:p w14:paraId="3C3C66BB">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kgce/t</w:t>
                            </w:r>
                          </w:p>
                        </w:txbxContent>
                      </wps:txbx>
                      <wps:bodyPr rot="0" spcFirstLastPara="0" vertOverflow="overflow" horzOverflow="overflow" vert="vert270" wrap="square" lIns="0" tIns="0" rIns="0" bIns="0" numCol="1" spcCol="0" rtlCol="0" fromWordArt="0" anchor="ctr" anchorCtr="0" forceAA="0" compatLnSpc="1">
                        <a:noAutofit/>
                      </wps:bodyPr>
                    </wps:wsp>
                  </a:graphicData>
                </a:graphic>
              </wp:anchor>
            </w:drawing>
          </mc:Choice>
          <mc:Fallback>
            <w:pict>
              <v:shape id="_x0000_s1026" o:spid="_x0000_s1026" o:spt="202" type="#_x0000_t202" style="position:absolute;left:0pt;margin-left:6.2pt;margin-top:27.45pt;height:172.7pt;width:34.85pt;z-index:251663360;v-text-anchor:middle;mso-width-relative:page;mso-height-relative:page;" fillcolor="#FFFFFF [3201]" filled="t" stroked="f" coordsize="21600,21600" o:gfxdata="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KMeQE1wAAAAgBAAAPAAAAAAAA&#10;AAEAIAAAACIAAABkcnMvZG93bnJldi54bWxQSwECFAAUAAAACACHTuJAxXXWX0wCAACGBAAADgAA&#10;AAAAAAABACAAAAAmAQAAZHJzL2Uyb0RvYy54bWxQSwUGAAAAAAYABgBZAQAA5AUAAAAA&#10;">
                <v:fill on="t" focussize="0,0"/>
                <v:stroke on="f" weight="0.5pt"/>
                <v:imagedata o:title=""/>
                <o:lock v:ext="edit" aspectratio="f"/>
                <v:textbox inset="0mm,0mm,0mm,0mm" style="layout-flow:vertical;mso-layout-flow-alt:bottom-to-top;">
                  <w:txbxContent>
                    <w:p w14:paraId="3240F470">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聚苯乙烯单位产品综合能耗</w:t>
                      </w:r>
                    </w:p>
                    <w:p w14:paraId="3C3C66BB">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kgce/t</w:t>
                      </w:r>
                    </w:p>
                  </w:txbxContent>
                </v:textbox>
              </v:shape>
            </w:pict>
          </mc:Fallback>
        </mc:AlternateContent>
      </w:r>
      <w:r>
        <w:rPr>
          <w:color w:val="auto"/>
        </w:rPr>
        <w:drawing>
          <wp:inline distT="0" distB="0" distL="114300" distR="114300">
            <wp:extent cx="5212715" cy="2903855"/>
            <wp:effectExtent l="4445" t="4445" r="21590" b="63500"/>
            <wp:docPr id="5" name="图表 4" descr="7b0a202020202263686172745265734964223a20223230343736373632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CBC32E9">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图4 调研企业单位产品综合能耗数据统计（EPS）</w:t>
      </w:r>
    </w:p>
    <w:p w14:paraId="3841FC87">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表2 聚苯乙烯单位产品综合能耗限额等级</w:t>
      </w: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5"/>
        <w:gridCol w:w="2090"/>
        <w:gridCol w:w="2226"/>
        <w:gridCol w:w="2139"/>
      </w:tblGrid>
      <w:tr w14:paraId="3569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212" w:type="pct"/>
            <w:vMerge w:val="restart"/>
            <w:tcBorders>
              <w:tl2br w:val="nil"/>
              <w:tr2bl w:val="nil"/>
            </w:tcBorders>
            <w:noWrap w:val="0"/>
            <w:vAlign w:val="center"/>
          </w:tcPr>
          <w:p w14:paraId="7C637F5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产品类型</w:t>
            </w:r>
          </w:p>
        </w:tc>
        <w:tc>
          <w:tcPr>
            <w:tcW w:w="3787" w:type="pct"/>
            <w:gridSpan w:val="3"/>
            <w:tcBorders>
              <w:tl2br w:val="nil"/>
              <w:tr2bl w:val="nil"/>
            </w:tcBorders>
            <w:noWrap w:val="0"/>
            <w:vAlign w:val="center"/>
          </w:tcPr>
          <w:p w14:paraId="59DB127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单位产品综合能耗限额等级</w:t>
            </w:r>
          </w:p>
          <w:p w14:paraId="3910421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kgce/t</w:t>
            </w:r>
          </w:p>
        </w:tc>
      </w:tr>
      <w:tr w14:paraId="7688F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212" w:type="pct"/>
            <w:vMerge w:val="continue"/>
            <w:tcBorders>
              <w:tl2br w:val="nil"/>
              <w:tr2bl w:val="nil"/>
            </w:tcBorders>
            <w:noWrap w:val="0"/>
            <w:vAlign w:val="center"/>
          </w:tcPr>
          <w:p w14:paraId="2962514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b/>
                <w:bCs/>
                <w:color w:val="auto"/>
                <w:sz w:val="24"/>
                <w:szCs w:val="24"/>
                <w:highlight w:val="none"/>
                <w:lang w:val="en-US" w:eastAsia="zh-CN"/>
              </w:rPr>
            </w:pPr>
          </w:p>
        </w:tc>
        <w:tc>
          <w:tcPr>
            <w:tcW w:w="1226" w:type="pct"/>
            <w:tcBorders>
              <w:tl2br w:val="nil"/>
              <w:tr2bl w:val="nil"/>
            </w:tcBorders>
            <w:noWrap w:val="0"/>
            <w:vAlign w:val="center"/>
          </w:tcPr>
          <w:p w14:paraId="36DBDD2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306" w:type="pct"/>
            <w:tcBorders>
              <w:tl2br w:val="nil"/>
              <w:tr2bl w:val="nil"/>
            </w:tcBorders>
            <w:noWrap w:val="0"/>
            <w:vAlign w:val="center"/>
          </w:tcPr>
          <w:p w14:paraId="01D1FA9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253" w:type="pct"/>
            <w:tcBorders>
              <w:tl2br w:val="nil"/>
              <w:tr2bl w:val="nil"/>
            </w:tcBorders>
            <w:noWrap w:val="0"/>
            <w:vAlign w:val="center"/>
          </w:tcPr>
          <w:p w14:paraId="4863F58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6D64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12" w:type="pct"/>
            <w:tcBorders>
              <w:tl2br w:val="nil"/>
              <w:tr2bl w:val="nil"/>
            </w:tcBorders>
            <w:noWrap w:val="0"/>
            <w:vAlign w:val="center"/>
          </w:tcPr>
          <w:p w14:paraId="44A89E3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通用级聚苯乙烯（GPPS）/高抗冲聚苯乙烯（HIPS）</w:t>
            </w:r>
          </w:p>
        </w:tc>
        <w:tc>
          <w:tcPr>
            <w:tcW w:w="1226" w:type="pct"/>
            <w:tcBorders>
              <w:tl2br w:val="nil"/>
              <w:tr2bl w:val="nil"/>
            </w:tcBorders>
            <w:noWrap w:val="0"/>
            <w:vAlign w:val="center"/>
          </w:tcPr>
          <w:p w14:paraId="7430919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≤23.40</w:t>
            </w:r>
          </w:p>
        </w:tc>
        <w:tc>
          <w:tcPr>
            <w:tcW w:w="1306" w:type="pct"/>
            <w:tcBorders>
              <w:tl2br w:val="nil"/>
              <w:tr2bl w:val="nil"/>
            </w:tcBorders>
            <w:noWrap w:val="0"/>
            <w:vAlign w:val="center"/>
          </w:tcPr>
          <w:p w14:paraId="5B148D3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≤27.80</w:t>
            </w:r>
          </w:p>
        </w:tc>
        <w:tc>
          <w:tcPr>
            <w:tcW w:w="1253" w:type="pct"/>
            <w:tcBorders>
              <w:tl2br w:val="nil"/>
              <w:tr2bl w:val="nil"/>
            </w:tcBorders>
            <w:noWrap w:val="0"/>
            <w:vAlign w:val="center"/>
          </w:tcPr>
          <w:p w14:paraId="527BDC0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≤37.90</w:t>
            </w:r>
          </w:p>
        </w:tc>
      </w:tr>
      <w:tr w14:paraId="2F83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12" w:type="pct"/>
            <w:tcBorders>
              <w:tl2br w:val="nil"/>
              <w:tr2bl w:val="nil"/>
            </w:tcBorders>
            <w:noWrap w:val="0"/>
            <w:vAlign w:val="center"/>
          </w:tcPr>
          <w:p w14:paraId="07AE0A8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可发性聚苯乙烯（EPS）</w:t>
            </w:r>
          </w:p>
        </w:tc>
        <w:tc>
          <w:tcPr>
            <w:tcW w:w="1226" w:type="pct"/>
            <w:tcBorders>
              <w:tl2br w:val="nil"/>
              <w:tr2bl w:val="nil"/>
            </w:tcBorders>
            <w:noWrap w:val="0"/>
            <w:vAlign w:val="center"/>
          </w:tcPr>
          <w:p w14:paraId="01976F8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≤23.40</w:t>
            </w:r>
          </w:p>
        </w:tc>
        <w:tc>
          <w:tcPr>
            <w:tcW w:w="1306" w:type="pct"/>
            <w:tcBorders>
              <w:tl2br w:val="nil"/>
              <w:tr2bl w:val="nil"/>
            </w:tcBorders>
            <w:noWrap w:val="0"/>
            <w:vAlign w:val="center"/>
          </w:tcPr>
          <w:p w14:paraId="3D54BCE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≤26.00</w:t>
            </w:r>
          </w:p>
        </w:tc>
        <w:tc>
          <w:tcPr>
            <w:tcW w:w="1253" w:type="pct"/>
            <w:tcBorders>
              <w:tl2br w:val="nil"/>
              <w:tr2bl w:val="nil"/>
            </w:tcBorders>
            <w:noWrap w:val="0"/>
            <w:vAlign w:val="center"/>
          </w:tcPr>
          <w:p w14:paraId="77DEC00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≤28.80</w:t>
            </w:r>
          </w:p>
        </w:tc>
      </w:tr>
    </w:tbl>
    <w:p w14:paraId="08ACDCCC">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p>
    <w:p w14:paraId="69D6CA6C">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c）综合分析</w:t>
      </w:r>
    </w:p>
    <w:p w14:paraId="0A7A14A1">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标准编制组在调研过程中，遵循体现行业先进性的原则，广泛征求并获取了行业主要生产企业及研究机构专家的意见。结合行业产业结构调整情况、能源限额标准调研数据与行业专家建议。以遵循行业实情同时体现指标先进性、鼓励企业积极实施低碳减排技术的原则。综合方法一、方法二及方法三，缩小各等级差距及等级指标值的合理性，确定了聚苯乙烯单位产品综合能耗限额等级，见表3。</w:t>
      </w:r>
    </w:p>
    <w:p w14:paraId="2B1C3C70">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表3 聚苯乙烯单位产品综合能耗限额等级</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8"/>
        <w:gridCol w:w="2016"/>
        <w:gridCol w:w="2279"/>
        <w:gridCol w:w="2296"/>
      </w:tblGrid>
      <w:tr w14:paraId="5D161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132" w:type="pct"/>
            <w:vMerge w:val="restart"/>
            <w:tcBorders>
              <w:tl2br w:val="nil"/>
              <w:tr2bl w:val="nil"/>
            </w:tcBorders>
            <w:noWrap w:val="0"/>
            <w:vAlign w:val="center"/>
          </w:tcPr>
          <w:p w14:paraId="2AB9AE4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产品类型</w:t>
            </w:r>
          </w:p>
        </w:tc>
        <w:tc>
          <w:tcPr>
            <w:tcW w:w="3867" w:type="pct"/>
            <w:gridSpan w:val="3"/>
            <w:tcBorders>
              <w:tl2br w:val="nil"/>
              <w:tr2bl w:val="nil"/>
            </w:tcBorders>
            <w:noWrap w:val="0"/>
            <w:vAlign w:val="center"/>
          </w:tcPr>
          <w:p w14:paraId="7338034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单位产品综合能耗限额等级</w:t>
            </w:r>
          </w:p>
          <w:p w14:paraId="560F906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kgce/t</w:t>
            </w:r>
          </w:p>
        </w:tc>
      </w:tr>
      <w:tr w14:paraId="2C76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132" w:type="pct"/>
            <w:vMerge w:val="continue"/>
            <w:tcBorders>
              <w:tl2br w:val="nil"/>
              <w:tr2bl w:val="nil"/>
            </w:tcBorders>
            <w:noWrap w:val="0"/>
            <w:vAlign w:val="center"/>
          </w:tcPr>
          <w:p w14:paraId="65770C6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p>
        </w:tc>
        <w:tc>
          <w:tcPr>
            <w:tcW w:w="1183" w:type="pct"/>
            <w:tcBorders>
              <w:tl2br w:val="nil"/>
              <w:tr2bl w:val="nil"/>
            </w:tcBorders>
            <w:noWrap w:val="0"/>
            <w:vAlign w:val="center"/>
          </w:tcPr>
          <w:p w14:paraId="701C6FC1">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337" w:type="pct"/>
            <w:tcBorders>
              <w:tl2br w:val="nil"/>
              <w:tr2bl w:val="nil"/>
            </w:tcBorders>
            <w:noWrap w:val="0"/>
            <w:vAlign w:val="center"/>
          </w:tcPr>
          <w:p w14:paraId="698CE54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346" w:type="pct"/>
            <w:tcBorders>
              <w:tl2br w:val="nil"/>
              <w:tr2bl w:val="nil"/>
            </w:tcBorders>
            <w:noWrap w:val="0"/>
            <w:vAlign w:val="center"/>
          </w:tcPr>
          <w:p w14:paraId="31D4D15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130C3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2" w:type="pct"/>
            <w:tcBorders>
              <w:tl2br w:val="nil"/>
              <w:tr2bl w:val="nil"/>
            </w:tcBorders>
            <w:noWrap w:val="0"/>
            <w:vAlign w:val="center"/>
          </w:tcPr>
          <w:p w14:paraId="0CC015D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通用级聚苯乙烯（GPPS）/高抗冲聚苯乙烯（HIPS）</w:t>
            </w:r>
          </w:p>
        </w:tc>
        <w:tc>
          <w:tcPr>
            <w:tcW w:w="1183" w:type="pct"/>
            <w:tcBorders>
              <w:tl2br w:val="nil"/>
              <w:tr2bl w:val="nil"/>
            </w:tcBorders>
            <w:noWrap w:val="0"/>
            <w:vAlign w:val="center"/>
          </w:tcPr>
          <w:p w14:paraId="1701982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w:t>
            </w:r>
          </w:p>
        </w:tc>
        <w:tc>
          <w:tcPr>
            <w:tcW w:w="1337" w:type="pct"/>
            <w:tcBorders>
              <w:tl2br w:val="nil"/>
              <w:tr2bl w:val="nil"/>
            </w:tcBorders>
            <w:noWrap w:val="0"/>
            <w:vAlign w:val="center"/>
          </w:tcPr>
          <w:p w14:paraId="3EB4A0C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≤27</w:t>
            </w:r>
          </w:p>
        </w:tc>
        <w:tc>
          <w:tcPr>
            <w:tcW w:w="1346" w:type="pct"/>
            <w:tcBorders>
              <w:tl2br w:val="nil"/>
              <w:tr2bl w:val="nil"/>
            </w:tcBorders>
            <w:noWrap w:val="0"/>
            <w:vAlign w:val="center"/>
          </w:tcPr>
          <w:p w14:paraId="6D52B77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≤38</w:t>
            </w:r>
          </w:p>
        </w:tc>
      </w:tr>
      <w:tr w14:paraId="483B6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2" w:type="pct"/>
            <w:tcBorders>
              <w:tl2br w:val="nil"/>
              <w:tr2bl w:val="nil"/>
            </w:tcBorders>
            <w:noWrap w:val="0"/>
            <w:vAlign w:val="center"/>
          </w:tcPr>
          <w:p w14:paraId="5D940FE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可发性聚苯乙烯（EPS）</w:t>
            </w:r>
          </w:p>
        </w:tc>
        <w:tc>
          <w:tcPr>
            <w:tcW w:w="1183" w:type="pct"/>
            <w:tcBorders>
              <w:tl2br w:val="nil"/>
              <w:tr2bl w:val="nil"/>
            </w:tcBorders>
            <w:noWrap w:val="0"/>
            <w:vAlign w:val="center"/>
          </w:tcPr>
          <w:p w14:paraId="6307AFD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≤23</w:t>
            </w:r>
          </w:p>
        </w:tc>
        <w:tc>
          <w:tcPr>
            <w:tcW w:w="1337" w:type="pct"/>
            <w:tcBorders>
              <w:tl2br w:val="nil"/>
              <w:tr2bl w:val="nil"/>
            </w:tcBorders>
            <w:noWrap w:val="0"/>
            <w:vAlign w:val="center"/>
          </w:tcPr>
          <w:p w14:paraId="1E16CFE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≤25</w:t>
            </w:r>
          </w:p>
        </w:tc>
        <w:tc>
          <w:tcPr>
            <w:tcW w:w="1346" w:type="pct"/>
            <w:tcBorders>
              <w:tl2br w:val="nil"/>
              <w:tr2bl w:val="nil"/>
            </w:tcBorders>
            <w:noWrap w:val="0"/>
            <w:vAlign w:val="center"/>
          </w:tcPr>
          <w:p w14:paraId="32A2DF4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≤29</w:t>
            </w:r>
          </w:p>
        </w:tc>
      </w:tr>
    </w:tbl>
    <w:p w14:paraId="223E2C8A">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备注：平均值取值方法为向上取整。</w:t>
      </w:r>
    </w:p>
    <w:p w14:paraId="653BB477">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（2）聚苯乙烯单位产品二氧化碳排放量</w:t>
      </w:r>
    </w:p>
    <w:p w14:paraId="185FEB41">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同理，聚苯乙烯单位产品二氧化碳排放量指标值的等级选取如下：</w:t>
      </w:r>
    </w:p>
    <w:p w14:paraId="4D4A885F">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a）全部数据纳入统计</w:t>
      </w:r>
    </w:p>
    <w:p w14:paraId="369687AB">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有多年运行数据的，每年运行情况纳入统计数据。其中，GPPS和HIPS结果见图5，EPS结果见图6，并结合方法一对聚苯乙烯单位产品二氧化碳排放量限额指标值等级的选取结果见表4。</w:t>
      </w:r>
    </w:p>
    <w:p w14:paraId="74C44D34">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sz w:val="30"/>
          <w:szCs w:val="30"/>
          <w:highlight w:val="none"/>
          <w:lang w:val="en-US" w:eastAsia="zh-CN"/>
        </w:rPr>
        <mc:AlternateContent>
          <mc:Choice Requires="wps">
            <w:drawing>
              <wp:anchor distT="0" distB="0" distL="114300" distR="114300" simplePos="0" relativeHeight="251664384" behindDoc="0" locked="0" layoutInCell="1" allowOverlap="1">
                <wp:simplePos x="0" y="0"/>
                <wp:positionH relativeFrom="column">
                  <wp:posOffset>78740</wp:posOffset>
                </wp:positionH>
                <wp:positionV relativeFrom="paragraph">
                  <wp:posOffset>457200</wp:posOffset>
                </wp:positionV>
                <wp:extent cx="442595" cy="2193290"/>
                <wp:effectExtent l="0" t="0" r="14605" b="16510"/>
                <wp:wrapNone/>
                <wp:docPr id="13" name="文本框 13"/>
                <wp:cNvGraphicFramePr/>
                <a:graphic xmlns:a="http://schemas.openxmlformats.org/drawingml/2006/main">
                  <a:graphicData uri="http://schemas.microsoft.com/office/word/2010/wordprocessingShape">
                    <wps:wsp>
                      <wps:cNvSpPr txBox="1"/>
                      <wps:spPr>
                        <a:xfrm>
                          <a:off x="0" y="0"/>
                          <a:ext cx="442595" cy="2193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0884883A">
                            <w:pPr>
                              <w:keepNext w:val="0"/>
                              <w:keepLines w:val="0"/>
                              <w:pageBreakBefore w:val="0"/>
                              <w:widowControl w:val="0"/>
                              <w:kinsoku/>
                              <w:wordWrap/>
                              <w:overflowPunct/>
                              <w:topLinePunct w:val="0"/>
                              <w:bidi w:val="0"/>
                              <w:adjustRightInd w:val="0"/>
                              <w:snapToGrid w:val="0"/>
                              <w:jc w:val="center"/>
                              <w:textAlignment w:val="auto"/>
                              <w:rPr>
                                <w:rFonts w:hint="eastAsia" w:ascii="Times New Roman" w:hAnsi="Times New Roman" w:eastAsia="楷体" w:cs="Times New Roman"/>
                                <w:sz w:val="22"/>
                                <w:szCs w:val="28"/>
                                <w:lang w:eastAsia="zh-CN"/>
                              </w:rPr>
                            </w:pPr>
                            <w:r>
                              <w:rPr>
                                <w:rFonts w:hint="default" w:ascii="Times New Roman" w:hAnsi="Times New Roman" w:eastAsia="楷体" w:cs="Times New Roman"/>
                                <w:sz w:val="22"/>
                                <w:szCs w:val="28"/>
                              </w:rPr>
                              <w:t>聚苯乙烯单位产品</w:t>
                            </w:r>
                            <w:r>
                              <w:rPr>
                                <w:rFonts w:hint="eastAsia" w:ascii="Times New Roman" w:hAnsi="Times New Roman" w:eastAsia="楷体" w:cs="Times New Roman"/>
                                <w:sz w:val="22"/>
                                <w:szCs w:val="28"/>
                                <w:lang w:val="en-US" w:eastAsia="zh-CN"/>
                              </w:rPr>
                              <w:t>碳排放量</w:t>
                            </w:r>
                          </w:p>
                          <w:p w14:paraId="6EF71E3C">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w:t>
                            </w:r>
                            <w:r>
                              <w:rPr>
                                <w:rFonts w:hint="eastAsia" w:ascii="Times New Roman" w:hAnsi="Times New Roman" w:eastAsia="楷体" w:cs="Times New Roman"/>
                                <w:sz w:val="22"/>
                                <w:szCs w:val="28"/>
                                <w:lang w:val="en-US" w:eastAsia="zh-CN"/>
                              </w:rPr>
                              <w:t>CO</w:t>
                            </w:r>
                            <w:r>
                              <w:rPr>
                                <w:rFonts w:hint="eastAsia" w:ascii="Times New Roman" w:hAnsi="Times New Roman" w:eastAsia="楷体" w:cs="Times New Roman"/>
                                <w:sz w:val="22"/>
                                <w:szCs w:val="28"/>
                                <w:vertAlign w:val="subscript"/>
                                <w:lang w:val="en-US" w:eastAsia="zh-CN"/>
                              </w:rPr>
                              <w:t>2</w:t>
                            </w:r>
                            <w:r>
                              <w:rPr>
                                <w:rFonts w:hint="default" w:ascii="Times New Roman" w:hAnsi="Times New Roman" w:eastAsia="楷体" w:cs="Times New Roman"/>
                                <w:sz w:val="22"/>
                                <w:szCs w:val="28"/>
                              </w:rPr>
                              <w:t>/t</w:t>
                            </w:r>
                          </w:p>
                        </w:txbxContent>
                      </wps:txbx>
                      <wps:bodyPr rot="0" spcFirstLastPara="0" vertOverflow="overflow" horzOverflow="overflow" vert="vert270" wrap="square" lIns="0" tIns="0" rIns="0" bIns="0" numCol="1" spcCol="0" rtlCol="0" fromWordArt="0" anchor="ctr" anchorCtr="0" forceAA="0" compatLnSpc="1">
                        <a:noAutofit/>
                      </wps:bodyPr>
                    </wps:wsp>
                  </a:graphicData>
                </a:graphic>
              </wp:anchor>
            </w:drawing>
          </mc:Choice>
          <mc:Fallback>
            <w:pict>
              <v:shape id="_x0000_s1026" o:spid="_x0000_s1026" o:spt="202" type="#_x0000_t202" style="position:absolute;left:0pt;margin-left:6.2pt;margin-top:36pt;height:172.7pt;width:34.85pt;z-index:251664384;v-text-anchor:middle;mso-width-relative:page;mso-height-relative:page;" fillcolor="#FFFFFF [3201]" filled="t" stroked="f" coordsize="21600,21600" o:gfxdata="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Mnk2odcAAAAIAQAADwAAAAAA&#10;AAABACAAAAAiAAAAZHJzL2Rvd25yZXYueG1sUEsBAhQAFAAAAAgAh07iQONvLSVNAgAAhgQAAA4A&#10;AAAAAAAAAQAgAAAAJgEAAGRycy9lMm9Eb2MueG1sUEsFBgAAAAAGAAYAWQEAAOUFAAAAAA==&#10;">
                <v:fill on="t" focussize="0,0"/>
                <v:stroke on="f" weight="0.5pt"/>
                <v:imagedata o:title=""/>
                <o:lock v:ext="edit" aspectratio="f"/>
                <v:textbox inset="0mm,0mm,0mm,0mm" style="layout-flow:vertical;mso-layout-flow-alt:bottom-to-top;">
                  <w:txbxContent>
                    <w:p w14:paraId="0884883A">
                      <w:pPr>
                        <w:keepNext w:val="0"/>
                        <w:keepLines w:val="0"/>
                        <w:pageBreakBefore w:val="0"/>
                        <w:widowControl w:val="0"/>
                        <w:kinsoku/>
                        <w:wordWrap/>
                        <w:overflowPunct/>
                        <w:topLinePunct w:val="0"/>
                        <w:bidi w:val="0"/>
                        <w:adjustRightInd w:val="0"/>
                        <w:snapToGrid w:val="0"/>
                        <w:jc w:val="center"/>
                        <w:textAlignment w:val="auto"/>
                        <w:rPr>
                          <w:rFonts w:hint="eastAsia" w:ascii="Times New Roman" w:hAnsi="Times New Roman" w:eastAsia="楷体" w:cs="Times New Roman"/>
                          <w:sz w:val="22"/>
                          <w:szCs w:val="28"/>
                          <w:lang w:eastAsia="zh-CN"/>
                        </w:rPr>
                      </w:pPr>
                      <w:r>
                        <w:rPr>
                          <w:rFonts w:hint="default" w:ascii="Times New Roman" w:hAnsi="Times New Roman" w:eastAsia="楷体" w:cs="Times New Roman"/>
                          <w:sz w:val="22"/>
                          <w:szCs w:val="28"/>
                        </w:rPr>
                        <w:t>聚苯乙烯单位产品</w:t>
                      </w:r>
                      <w:r>
                        <w:rPr>
                          <w:rFonts w:hint="eastAsia" w:ascii="Times New Roman" w:hAnsi="Times New Roman" w:eastAsia="楷体" w:cs="Times New Roman"/>
                          <w:sz w:val="22"/>
                          <w:szCs w:val="28"/>
                          <w:lang w:val="en-US" w:eastAsia="zh-CN"/>
                        </w:rPr>
                        <w:t>碳排放量</w:t>
                      </w:r>
                    </w:p>
                    <w:p w14:paraId="6EF71E3C">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w:t>
                      </w:r>
                      <w:r>
                        <w:rPr>
                          <w:rFonts w:hint="eastAsia" w:ascii="Times New Roman" w:hAnsi="Times New Roman" w:eastAsia="楷体" w:cs="Times New Roman"/>
                          <w:sz w:val="22"/>
                          <w:szCs w:val="28"/>
                          <w:lang w:val="en-US" w:eastAsia="zh-CN"/>
                        </w:rPr>
                        <w:t>CO</w:t>
                      </w:r>
                      <w:r>
                        <w:rPr>
                          <w:rFonts w:hint="eastAsia" w:ascii="Times New Roman" w:hAnsi="Times New Roman" w:eastAsia="楷体" w:cs="Times New Roman"/>
                          <w:sz w:val="22"/>
                          <w:szCs w:val="28"/>
                          <w:vertAlign w:val="subscript"/>
                          <w:lang w:val="en-US" w:eastAsia="zh-CN"/>
                        </w:rPr>
                        <w:t>2</w:t>
                      </w:r>
                      <w:r>
                        <w:rPr>
                          <w:rFonts w:hint="default" w:ascii="Times New Roman" w:hAnsi="Times New Roman" w:eastAsia="楷体" w:cs="Times New Roman"/>
                          <w:sz w:val="22"/>
                          <w:szCs w:val="28"/>
                        </w:rPr>
                        <w:t>/t</w:t>
                      </w:r>
                    </w:p>
                  </w:txbxContent>
                </v:textbox>
              </v:shape>
            </w:pict>
          </mc:Fallback>
        </mc:AlternateContent>
      </w:r>
      <w:r>
        <w:rPr>
          <w:color w:val="auto"/>
        </w:rPr>
        <w:drawing>
          <wp:inline distT="0" distB="0" distL="114300" distR="114300">
            <wp:extent cx="5240020" cy="3015615"/>
            <wp:effectExtent l="4445" t="4445" r="13335" b="46990"/>
            <wp:docPr id="18" name="图表 3" descr="7b0a202020202263686172745265734964223a20223230343736373632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B24003E">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图5 调研企业单位产品二氧化碳排放量数据统计（GPPS/HIPS）</w:t>
      </w:r>
    </w:p>
    <w:p w14:paraId="18D5AA8F">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mc:AlternateContent>
          <mc:Choice Requires="wps">
            <w:drawing>
              <wp:anchor distT="0" distB="0" distL="114300" distR="114300" simplePos="0" relativeHeight="251665408" behindDoc="0" locked="0" layoutInCell="1" allowOverlap="1">
                <wp:simplePos x="0" y="0"/>
                <wp:positionH relativeFrom="column">
                  <wp:posOffset>205105</wp:posOffset>
                </wp:positionH>
                <wp:positionV relativeFrom="paragraph">
                  <wp:posOffset>456565</wp:posOffset>
                </wp:positionV>
                <wp:extent cx="442595" cy="2193290"/>
                <wp:effectExtent l="0" t="0" r="14605" b="16510"/>
                <wp:wrapNone/>
                <wp:docPr id="15" name="文本框 15"/>
                <wp:cNvGraphicFramePr/>
                <a:graphic xmlns:a="http://schemas.openxmlformats.org/drawingml/2006/main">
                  <a:graphicData uri="http://schemas.microsoft.com/office/word/2010/wordprocessingShape">
                    <wps:wsp>
                      <wps:cNvSpPr txBox="1"/>
                      <wps:spPr>
                        <a:xfrm>
                          <a:off x="0" y="0"/>
                          <a:ext cx="442595" cy="2193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A6F0610">
                            <w:pPr>
                              <w:keepNext w:val="0"/>
                              <w:keepLines w:val="0"/>
                              <w:pageBreakBefore w:val="0"/>
                              <w:widowControl w:val="0"/>
                              <w:kinsoku/>
                              <w:wordWrap/>
                              <w:overflowPunct/>
                              <w:topLinePunct w:val="0"/>
                              <w:bidi w:val="0"/>
                              <w:adjustRightInd w:val="0"/>
                              <w:snapToGrid w:val="0"/>
                              <w:jc w:val="center"/>
                              <w:textAlignment w:val="auto"/>
                              <w:rPr>
                                <w:rFonts w:hint="eastAsia" w:ascii="Times New Roman" w:hAnsi="Times New Roman" w:eastAsia="楷体" w:cs="Times New Roman"/>
                                <w:sz w:val="22"/>
                                <w:szCs w:val="28"/>
                                <w:lang w:eastAsia="zh-CN"/>
                              </w:rPr>
                            </w:pPr>
                            <w:r>
                              <w:rPr>
                                <w:rFonts w:hint="default" w:ascii="Times New Roman" w:hAnsi="Times New Roman" w:eastAsia="楷体" w:cs="Times New Roman"/>
                                <w:sz w:val="22"/>
                                <w:szCs w:val="28"/>
                              </w:rPr>
                              <w:t>聚苯乙烯单位产品</w:t>
                            </w:r>
                            <w:r>
                              <w:rPr>
                                <w:rFonts w:hint="eastAsia" w:ascii="Times New Roman" w:hAnsi="Times New Roman" w:eastAsia="楷体" w:cs="Times New Roman"/>
                                <w:sz w:val="22"/>
                                <w:szCs w:val="28"/>
                                <w:lang w:val="en-US" w:eastAsia="zh-CN"/>
                              </w:rPr>
                              <w:t>碳排放量</w:t>
                            </w:r>
                          </w:p>
                          <w:p w14:paraId="043386CB">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w:t>
                            </w:r>
                            <w:r>
                              <w:rPr>
                                <w:rFonts w:hint="eastAsia" w:ascii="Times New Roman" w:hAnsi="Times New Roman" w:eastAsia="楷体" w:cs="Times New Roman"/>
                                <w:sz w:val="22"/>
                                <w:szCs w:val="28"/>
                                <w:lang w:val="en-US" w:eastAsia="zh-CN"/>
                              </w:rPr>
                              <w:t>CO</w:t>
                            </w:r>
                            <w:r>
                              <w:rPr>
                                <w:rFonts w:hint="eastAsia" w:ascii="Times New Roman" w:hAnsi="Times New Roman" w:eastAsia="楷体" w:cs="Times New Roman"/>
                                <w:sz w:val="22"/>
                                <w:szCs w:val="28"/>
                                <w:vertAlign w:val="subscript"/>
                                <w:lang w:val="en-US" w:eastAsia="zh-CN"/>
                              </w:rPr>
                              <w:t>2</w:t>
                            </w:r>
                            <w:r>
                              <w:rPr>
                                <w:rFonts w:hint="default" w:ascii="Times New Roman" w:hAnsi="Times New Roman" w:eastAsia="楷体" w:cs="Times New Roman"/>
                                <w:sz w:val="22"/>
                                <w:szCs w:val="28"/>
                              </w:rPr>
                              <w:t>/t</w:t>
                            </w:r>
                          </w:p>
                        </w:txbxContent>
                      </wps:txbx>
                      <wps:bodyPr rot="0" spcFirstLastPara="0" vertOverflow="overflow" horzOverflow="overflow" vert="vert270" wrap="square" lIns="0" tIns="0" rIns="0" bIns="0" numCol="1" spcCol="0" rtlCol="0" fromWordArt="0" anchor="ctr" anchorCtr="0" forceAA="0" compatLnSpc="1">
                        <a:noAutofit/>
                      </wps:bodyPr>
                    </wps:wsp>
                  </a:graphicData>
                </a:graphic>
              </wp:anchor>
            </w:drawing>
          </mc:Choice>
          <mc:Fallback>
            <w:pict>
              <v:shape id="_x0000_s1026" o:spid="_x0000_s1026" o:spt="202" type="#_x0000_t202" style="position:absolute;left:0pt;margin-left:16.15pt;margin-top:35.95pt;height:172.7pt;width:34.85pt;z-index:251665408;v-text-anchor:middle;mso-width-relative:page;mso-height-relative:page;" fillcolor="#FFFFFF [3201]" filled="t" stroked="f" coordsize="21600,21600" o:gfxdata="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7Qkv9gAAAAJAQAADwAAAAAA&#10;AAABACAAAAAiAAAAZHJzL2Rvd25yZXYueG1sUEsBAhQAFAAAAAgAh07iQIlBIKpMAgAAhgQAAA4A&#10;AAAAAAAAAQAgAAAAJwEAAGRycy9lMm9Eb2MueG1sUEsFBgAAAAAGAAYAWQEAAOUFAAAAAA==&#10;">
                <v:fill on="t" focussize="0,0"/>
                <v:stroke on="f" weight="0.5pt"/>
                <v:imagedata o:title=""/>
                <o:lock v:ext="edit" aspectratio="f"/>
                <v:textbox inset="0mm,0mm,0mm,0mm" style="layout-flow:vertical;mso-layout-flow-alt:bottom-to-top;">
                  <w:txbxContent>
                    <w:p w14:paraId="5A6F0610">
                      <w:pPr>
                        <w:keepNext w:val="0"/>
                        <w:keepLines w:val="0"/>
                        <w:pageBreakBefore w:val="0"/>
                        <w:widowControl w:val="0"/>
                        <w:kinsoku/>
                        <w:wordWrap/>
                        <w:overflowPunct/>
                        <w:topLinePunct w:val="0"/>
                        <w:bidi w:val="0"/>
                        <w:adjustRightInd w:val="0"/>
                        <w:snapToGrid w:val="0"/>
                        <w:jc w:val="center"/>
                        <w:textAlignment w:val="auto"/>
                        <w:rPr>
                          <w:rFonts w:hint="eastAsia" w:ascii="Times New Roman" w:hAnsi="Times New Roman" w:eastAsia="楷体" w:cs="Times New Roman"/>
                          <w:sz w:val="22"/>
                          <w:szCs w:val="28"/>
                          <w:lang w:eastAsia="zh-CN"/>
                        </w:rPr>
                      </w:pPr>
                      <w:r>
                        <w:rPr>
                          <w:rFonts w:hint="default" w:ascii="Times New Roman" w:hAnsi="Times New Roman" w:eastAsia="楷体" w:cs="Times New Roman"/>
                          <w:sz w:val="22"/>
                          <w:szCs w:val="28"/>
                        </w:rPr>
                        <w:t>聚苯乙烯单位产品</w:t>
                      </w:r>
                      <w:r>
                        <w:rPr>
                          <w:rFonts w:hint="eastAsia" w:ascii="Times New Roman" w:hAnsi="Times New Roman" w:eastAsia="楷体" w:cs="Times New Roman"/>
                          <w:sz w:val="22"/>
                          <w:szCs w:val="28"/>
                          <w:lang w:val="en-US" w:eastAsia="zh-CN"/>
                        </w:rPr>
                        <w:t>碳排放量</w:t>
                      </w:r>
                    </w:p>
                    <w:p w14:paraId="043386CB">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w:t>
                      </w:r>
                      <w:r>
                        <w:rPr>
                          <w:rFonts w:hint="eastAsia" w:ascii="Times New Roman" w:hAnsi="Times New Roman" w:eastAsia="楷体" w:cs="Times New Roman"/>
                          <w:sz w:val="22"/>
                          <w:szCs w:val="28"/>
                          <w:lang w:val="en-US" w:eastAsia="zh-CN"/>
                        </w:rPr>
                        <w:t>CO</w:t>
                      </w:r>
                      <w:r>
                        <w:rPr>
                          <w:rFonts w:hint="eastAsia" w:ascii="Times New Roman" w:hAnsi="Times New Roman" w:eastAsia="楷体" w:cs="Times New Roman"/>
                          <w:sz w:val="22"/>
                          <w:szCs w:val="28"/>
                          <w:vertAlign w:val="subscript"/>
                          <w:lang w:val="en-US" w:eastAsia="zh-CN"/>
                        </w:rPr>
                        <w:t>2</w:t>
                      </w:r>
                      <w:r>
                        <w:rPr>
                          <w:rFonts w:hint="default" w:ascii="Times New Roman" w:hAnsi="Times New Roman" w:eastAsia="楷体" w:cs="Times New Roman"/>
                          <w:sz w:val="22"/>
                          <w:szCs w:val="28"/>
                        </w:rPr>
                        <w:t>/t</w:t>
                      </w:r>
                    </w:p>
                  </w:txbxContent>
                </v:textbox>
              </v:shape>
            </w:pict>
          </mc:Fallback>
        </mc:AlternateContent>
      </w:r>
      <w:r>
        <w:rPr>
          <w:color w:val="auto"/>
        </w:rPr>
        <w:drawing>
          <wp:inline distT="0" distB="0" distL="114300" distR="114300">
            <wp:extent cx="5249545" cy="3255645"/>
            <wp:effectExtent l="4445" t="4445" r="22860" b="54610"/>
            <wp:docPr id="17" name="图表 2" descr="7b0a202020202263686172745265734964223a20223230343736373632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925BE15">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图6 调研企业单位产品二氧化碳排放量数据统计（EPS）</w:t>
      </w:r>
    </w:p>
    <w:p w14:paraId="74EF6979">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p>
    <w:p w14:paraId="30053885">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表4 聚苯乙烯单位产品二氧化碳排放量限额等级</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2040"/>
        <w:gridCol w:w="2279"/>
        <w:gridCol w:w="2296"/>
      </w:tblGrid>
      <w:tr w14:paraId="43B98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18" w:type="pct"/>
            <w:vMerge w:val="restart"/>
            <w:tcBorders>
              <w:tl2br w:val="nil"/>
              <w:tr2bl w:val="nil"/>
            </w:tcBorders>
            <w:noWrap w:val="0"/>
            <w:vAlign w:val="center"/>
          </w:tcPr>
          <w:p w14:paraId="36FABA1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产品类型</w:t>
            </w:r>
          </w:p>
        </w:tc>
        <w:tc>
          <w:tcPr>
            <w:tcW w:w="3881" w:type="pct"/>
            <w:gridSpan w:val="3"/>
            <w:tcBorders>
              <w:tl2br w:val="nil"/>
              <w:tr2bl w:val="nil"/>
            </w:tcBorders>
            <w:noWrap w:val="0"/>
            <w:vAlign w:val="center"/>
          </w:tcPr>
          <w:p w14:paraId="68DE49B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单位产品二氧化碳排放量限额等级</w:t>
            </w:r>
          </w:p>
          <w:p w14:paraId="5B22578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kgCO</w:t>
            </w:r>
            <w:r>
              <w:rPr>
                <w:rFonts w:hint="eastAsia" w:ascii="仿宋" w:hAnsi="仿宋" w:eastAsia="仿宋" w:cs="仿宋"/>
                <w:b/>
                <w:bCs/>
                <w:color w:val="auto"/>
                <w:sz w:val="24"/>
                <w:szCs w:val="24"/>
                <w:highlight w:val="none"/>
                <w:vertAlign w:val="subscript"/>
                <w:lang w:val="en-US" w:eastAsia="zh-CN"/>
              </w:rPr>
              <w:t>2</w:t>
            </w:r>
            <w:r>
              <w:rPr>
                <w:rFonts w:hint="eastAsia" w:ascii="仿宋" w:hAnsi="仿宋" w:eastAsia="仿宋" w:cs="仿宋"/>
                <w:b/>
                <w:bCs/>
                <w:color w:val="auto"/>
                <w:sz w:val="24"/>
                <w:szCs w:val="24"/>
                <w:highlight w:val="none"/>
                <w:lang w:val="en-US" w:eastAsia="zh-CN"/>
              </w:rPr>
              <w:t>/t</w:t>
            </w:r>
          </w:p>
        </w:tc>
      </w:tr>
      <w:tr w14:paraId="768DB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18" w:type="pct"/>
            <w:vMerge w:val="continue"/>
            <w:tcBorders>
              <w:tl2br w:val="nil"/>
              <w:tr2bl w:val="nil"/>
            </w:tcBorders>
            <w:noWrap w:val="0"/>
            <w:vAlign w:val="center"/>
          </w:tcPr>
          <w:p w14:paraId="46AF328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p>
        </w:tc>
        <w:tc>
          <w:tcPr>
            <w:tcW w:w="1197" w:type="pct"/>
            <w:tcBorders>
              <w:tl2br w:val="nil"/>
              <w:tr2bl w:val="nil"/>
            </w:tcBorders>
            <w:noWrap w:val="0"/>
            <w:vAlign w:val="center"/>
          </w:tcPr>
          <w:p w14:paraId="4435DB4C">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337" w:type="pct"/>
            <w:tcBorders>
              <w:tl2br w:val="nil"/>
              <w:tr2bl w:val="nil"/>
            </w:tcBorders>
            <w:noWrap w:val="0"/>
            <w:vAlign w:val="center"/>
          </w:tcPr>
          <w:p w14:paraId="7802ACF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346" w:type="pct"/>
            <w:tcBorders>
              <w:tl2br w:val="nil"/>
              <w:tr2bl w:val="nil"/>
            </w:tcBorders>
            <w:noWrap w:val="0"/>
            <w:vAlign w:val="center"/>
          </w:tcPr>
          <w:p w14:paraId="08852E17">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52B1F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18" w:type="pct"/>
            <w:tcBorders>
              <w:tl2br w:val="nil"/>
              <w:tr2bl w:val="nil"/>
            </w:tcBorders>
            <w:noWrap w:val="0"/>
            <w:vAlign w:val="center"/>
          </w:tcPr>
          <w:p w14:paraId="53013C0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通用级聚苯乙烯（GPPS）/高抗冲聚苯乙烯（HIPS）</w:t>
            </w:r>
          </w:p>
        </w:tc>
        <w:tc>
          <w:tcPr>
            <w:tcW w:w="1197" w:type="pct"/>
            <w:tcBorders>
              <w:tl2br w:val="nil"/>
              <w:tr2bl w:val="nil"/>
            </w:tcBorders>
            <w:noWrap w:val="0"/>
            <w:vAlign w:val="center"/>
          </w:tcPr>
          <w:p w14:paraId="08DABC1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≤57.90</w:t>
            </w:r>
          </w:p>
        </w:tc>
        <w:tc>
          <w:tcPr>
            <w:tcW w:w="1337" w:type="pct"/>
            <w:tcBorders>
              <w:tl2br w:val="nil"/>
              <w:tr2bl w:val="nil"/>
            </w:tcBorders>
            <w:noWrap w:val="0"/>
            <w:vAlign w:val="center"/>
          </w:tcPr>
          <w:p w14:paraId="66C8963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≤62.40</w:t>
            </w:r>
          </w:p>
        </w:tc>
        <w:tc>
          <w:tcPr>
            <w:tcW w:w="1346" w:type="pct"/>
            <w:tcBorders>
              <w:tl2br w:val="nil"/>
              <w:tr2bl w:val="nil"/>
            </w:tcBorders>
            <w:noWrap w:val="0"/>
            <w:vAlign w:val="center"/>
          </w:tcPr>
          <w:p w14:paraId="2BE6EB9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≤98.00</w:t>
            </w:r>
          </w:p>
        </w:tc>
      </w:tr>
      <w:tr w14:paraId="635D6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18" w:type="pct"/>
            <w:tcBorders>
              <w:tl2br w:val="nil"/>
              <w:tr2bl w:val="nil"/>
            </w:tcBorders>
            <w:noWrap w:val="0"/>
            <w:vAlign w:val="center"/>
          </w:tcPr>
          <w:p w14:paraId="4D52336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可发性聚苯乙烯（EPS）</w:t>
            </w:r>
          </w:p>
        </w:tc>
        <w:tc>
          <w:tcPr>
            <w:tcW w:w="1197" w:type="pct"/>
            <w:tcBorders>
              <w:tl2br w:val="nil"/>
              <w:tr2bl w:val="nil"/>
            </w:tcBorders>
            <w:noWrap w:val="0"/>
            <w:vAlign w:val="center"/>
          </w:tcPr>
          <w:p w14:paraId="65DDA34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≤70.50</w:t>
            </w:r>
          </w:p>
        </w:tc>
        <w:tc>
          <w:tcPr>
            <w:tcW w:w="1337" w:type="pct"/>
            <w:tcBorders>
              <w:tl2br w:val="nil"/>
              <w:tr2bl w:val="nil"/>
            </w:tcBorders>
            <w:noWrap w:val="0"/>
            <w:vAlign w:val="center"/>
          </w:tcPr>
          <w:p w14:paraId="0824D17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≤72.80</w:t>
            </w:r>
          </w:p>
        </w:tc>
        <w:tc>
          <w:tcPr>
            <w:tcW w:w="1346" w:type="pct"/>
            <w:tcBorders>
              <w:tl2br w:val="nil"/>
              <w:tr2bl w:val="nil"/>
            </w:tcBorders>
            <w:noWrap w:val="0"/>
            <w:vAlign w:val="center"/>
          </w:tcPr>
          <w:p w14:paraId="4635B12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≤79.00</w:t>
            </w:r>
          </w:p>
        </w:tc>
      </w:tr>
    </w:tbl>
    <w:p w14:paraId="2ED04648">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highlight w:val="none"/>
          <w:lang w:val="en-US" w:eastAsia="zh-CN" w:bidi="ar-SA"/>
        </w:rPr>
      </w:pPr>
    </w:p>
    <w:p w14:paraId="751703F9">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b）以调研企业为统计对象</w:t>
      </w:r>
    </w:p>
    <w:p w14:paraId="4EEF66C0">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以调研企业为统计对象，有多年生产数据的企业，取平均值计算。其中，GPPS和HIPS结果见图7，EPS结果见图8，并结合方法一对聚苯乙烯单位产品二氧化碳排放量限额指标值等级的选取结果见表5。</w:t>
      </w:r>
    </w:p>
    <w:p w14:paraId="0241DC69">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sz w:val="30"/>
          <w:szCs w:val="30"/>
          <w:highlight w:val="none"/>
          <w:lang w:val="en-US" w:eastAsia="zh-CN"/>
        </w:rPr>
        <mc:AlternateContent>
          <mc:Choice Requires="wps">
            <w:drawing>
              <wp:anchor distT="0" distB="0" distL="114300" distR="114300" simplePos="0" relativeHeight="251666432" behindDoc="0" locked="0" layoutInCell="1" allowOverlap="1">
                <wp:simplePos x="0" y="0"/>
                <wp:positionH relativeFrom="column">
                  <wp:posOffset>134620</wp:posOffset>
                </wp:positionH>
                <wp:positionV relativeFrom="paragraph">
                  <wp:posOffset>448945</wp:posOffset>
                </wp:positionV>
                <wp:extent cx="442595" cy="2193290"/>
                <wp:effectExtent l="0" t="0" r="14605" b="16510"/>
                <wp:wrapNone/>
                <wp:docPr id="19" name="文本框 19"/>
                <wp:cNvGraphicFramePr/>
                <a:graphic xmlns:a="http://schemas.openxmlformats.org/drawingml/2006/main">
                  <a:graphicData uri="http://schemas.microsoft.com/office/word/2010/wordprocessingShape">
                    <wps:wsp>
                      <wps:cNvSpPr txBox="1"/>
                      <wps:spPr>
                        <a:xfrm>
                          <a:off x="0" y="0"/>
                          <a:ext cx="442595" cy="2193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557B94A7">
                            <w:pPr>
                              <w:keepNext w:val="0"/>
                              <w:keepLines w:val="0"/>
                              <w:pageBreakBefore w:val="0"/>
                              <w:widowControl w:val="0"/>
                              <w:kinsoku/>
                              <w:wordWrap/>
                              <w:overflowPunct/>
                              <w:topLinePunct w:val="0"/>
                              <w:bidi w:val="0"/>
                              <w:adjustRightInd w:val="0"/>
                              <w:snapToGrid w:val="0"/>
                              <w:jc w:val="center"/>
                              <w:textAlignment w:val="auto"/>
                              <w:rPr>
                                <w:rFonts w:hint="eastAsia" w:ascii="Times New Roman" w:hAnsi="Times New Roman" w:eastAsia="楷体" w:cs="Times New Roman"/>
                                <w:sz w:val="22"/>
                                <w:szCs w:val="28"/>
                                <w:lang w:eastAsia="zh-CN"/>
                              </w:rPr>
                            </w:pPr>
                            <w:r>
                              <w:rPr>
                                <w:rFonts w:hint="default" w:ascii="Times New Roman" w:hAnsi="Times New Roman" w:eastAsia="楷体" w:cs="Times New Roman"/>
                                <w:sz w:val="22"/>
                                <w:szCs w:val="28"/>
                              </w:rPr>
                              <w:t>聚苯乙烯单位产品</w:t>
                            </w:r>
                            <w:r>
                              <w:rPr>
                                <w:rFonts w:hint="eastAsia" w:ascii="Times New Roman" w:hAnsi="Times New Roman" w:eastAsia="楷体" w:cs="Times New Roman"/>
                                <w:sz w:val="22"/>
                                <w:szCs w:val="28"/>
                                <w:lang w:val="en-US" w:eastAsia="zh-CN"/>
                              </w:rPr>
                              <w:t>碳排放量</w:t>
                            </w:r>
                          </w:p>
                          <w:p w14:paraId="7C8712EF">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w:t>
                            </w:r>
                            <w:r>
                              <w:rPr>
                                <w:rFonts w:hint="eastAsia" w:ascii="Times New Roman" w:hAnsi="Times New Roman" w:eastAsia="楷体" w:cs="Times New Roman"/>
                                <w:sz w:val="22"/>
                                <w:szCs w:val="28"/>
                                <w:lang w:val="en-US" w:eastAsia="zh-CN"/>
                              </w:rPr>
                              <w:t>CO</w:t>
                            </w:r>
                            <w:r>
                              <w:rPr>
                                <w:rFonts w:hint="eastAsia" w:ascii="Times New Roman" w:hAnsi="Times New Roman" w:eastAsia="楷体" w:cs="Times New Roman"/>
                                <w:sz w:val="22"/>
                                <w:szCs w:val="28"/>
                                <w:vertAlign w:val="subscript"/>
                                <w:lang w:val="en-US" w:eastAsia="zh-CN"/>
                              </w:rPr>
                              <w:t>2</w:t>
                            </w:r>
                            <w:r>
                              <w:rPr>
                                <w:rFonts w:hint="default" w:ascii="Times New Roman" w:hAnsi="Times New Roman" w:eastAsia="楷体" w:cs="Times New Roman"/>
                                <w:sz w:val="22"/>
                                <w:szCs w:val="28"/>
                              </w:rPr>
                              <w:t>/t</w:t>
                            </w:r>
                          </w:p>
                        </w:txbxContent>
                      </wps:txbx>
                      <wps:bodyPr rot="0" spcFirstLastPara="0" vertOverflow="overflow" horzOverflow="overflow" vert="vert270" wrap="square" lIns="0" tIns="0" rIns="0" bIns="0" numCol="1" spcCol="0" rtlCol="0" fromWordArt="0" anchor="ctr" anchorCtr="0" forceAA="0" compatLnSpc="1">
                        <a:noAutofit/>
                      </wps:bodyPr>
                    </wps:wsp>
                  </a:graphicData>
                </a:graphic>
              </wp:anchor>
            </w:drawing>
          </mc:Choice>
          <mc:Fallback>
            <w:pict>
              <v:shape id="_x0000_s1026" o:spid="_x0000_s1026" o:spt="202" type="#_x0000_t202" style="position:absolute;left:0pt;margin-left:10.6pt;margin-top:35.35pt;height:172.7pt;width:34.85pt;z-index:251666432;v-text-anchor:middle;mso-width-relative:page;mso-height-relative:page;" fillcolor="#FFFFFF [3201]" filled="t" stroked="f" coordsize="21600,21600" o:gfxdata="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HD5byNcAAAAIAQAADwAAAAAA&#10;AAABACAAAAAiAAAAZHJzL2Rvd25yZXYueG1sUEsBAhQAFAAAAAgAh07iQBwbS29NAgAAhgQAAA4A&#10;AAAAAAAAAQAgAAAAJgEAAGRycy9lMm9Eb2MueG1sUEsFBgAAAAAGAAYAWQEAAOUFAAAAAA==&#10;">
                <v:fill on="t" focussize="0,0"/>
                <v:stroke on="f" weight="0.5pt"/>
                <v:imagedata o:title=""/>
                <o:lock v:ext="edit" aspectratio="f"/>
                <v:textbox inset="0mm,0mm,0mm,0mm" style="layout-flow:vertical;mso-layout-flow-alt:bottom-to-top;">
                  <w:txbxContent>
                    <w:p w14:paraId="557B94A7">
                      <w:pPr>
                        <w:keepNext w:val="0"/>
                        <w:keepLines w:val="0"/>
                        <w:pageBreakBefore w:val="0"/>
                        <w:widowControl w:val="0"/>
                        <w:kinsoku/>
                        <w:wordWrap/>
                        <w:overflowPunct/>
                        <w:topLinePunct w:val="0"/>
                        <w:bidi w:val="0"/>
                        <w:adjustRightInd w:val="0"/>
                        <w:snapToGrid w:val="0"/>
                        <w:jc w:val="center"/>
                        <w:textAlignment w:val="auto"/>
                        <w:rPr>
                          <w:rFonts w:hint="eastAsia" w:ascii="Times New Roman" w:hAnsi="Times New Roman" w:eastAsia="楷体" w:cs="Times New Roman"/>
                          <w:sz w:val="22"/>
                          <w:szCs w:val="28"/>
                          <w:lang w:eastAsia="zh-CN"/>
                        </w:rPr>
                      </w:pPr>
                      <w:r>
                        <w:rPr>
                          <w:rFonts w:hint="default" w:ascii="Times New Roman" w:hAnsi="Times New Roman" w:eastAsia="楷体" w:cs="Times New Roman"/>
                          <w:sz w:val="22"/>
                          <w:szCs w:val="28"/>
                        </w:rPr>
                        <w:t>聚苯乙烯单位产品</w:t>
                      </w:r>
                      <w:r>
                        <w:rPr>
                          <w:rFonts w:hint="eastAsia" w:ascii="Times New Roman" w:hAnsi="Times New Roman" w:eastAsia="楷体" w:cs="Times New Roman"/>
                          <w:sz w:val="22"/>
                          <w:szCs w:val="28"/>
                          <w:lang w:val="en-US" w:eastAsia="zh-CN"/>
                        </w:rPr>
                        <w:t>碳排放量</w:t>
                      </w:r>
                    </w:p>
                    <w:p w14:paraId="7C8712EF">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w:t>
                      </w:r>
                      <w:r>
                        <w:rPr>
                          <w:rFonts w:hint="eastAsia" w:ascii="Times New Roman" w:hAnsi="Times New Roman" w:eastAsia="楷体" w:cs="Times New Roman"/>
                          <w:sz w:val="22"/>
                          <w:szCs w:val="28"/>
                          <w:lang w:val="en-US" w:eastAsia="zh-CN"/>
                        </w:rPr>
                        <w:t>CO</w:t>
                      </w:r>
                      <w:r>
                        <w:rPr>
                          <w:rFonts w:hint="eastAsia" w:ascii="Times New Roman" w:hAnsi="Times New Roman" w:eastAsia="楷体" w:cs="Times New Roman"/>
                          <w:sz w:val="22"/>
                          <w:szCs w:val="28"/>
                          <w:vertAlign w:val="subscript"/>
                          <w:lang w:val="en-US" w:eastAsia="zh-CN"/>
                        </w:rPr>
                        <w:t>2</w:t>
                      </w:r>
                      <w:r>
                        <w:rPr>
                          <w:rFonts w:hint="default" w:ascii="Times New Roman" w:hAnsi="Times New Roman" w:eastAsia="楷体" w:cs="Times New Roman"/>
                          <w:sz w:val="22"/>
                          <w:szCs w:val="28"/>
                        </w:rPr>
                        <w:t>/t</w:t>
                      </w:r>
                    </w:p>
                  </w:txbxContent>
                </v:textbox>
              </v:shape>
            </w:pict>
          </mc:Fallback>
        </mc:AlternateContent>
      </w:r>
      <w:r>
        <w:rPr>
          <w:color w:val="auto"/>
        </w:rPr>
        <w:drawing>
          <wp:inline distT="0" distB="0" distL="114300" distR="114300">
            <wp:extent cx="5153660" cy="3306445"/>
            <wp:effectExtent l="4445" t="4445" r="23495" b="60960"/>
            <wp:docPr id="20" name="图表 8" descr="7b0a202020202263686172745265734964223a20223230343736373632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9470ED8">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图7 调研企业单位产品二氧化碳排放量数据统计（GPPS/HIPS）</w:t>
      </w:r>
    </w:p>
    <w:p w14:paraId="2EBE7CB6">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sz w:val="30"/>
          <w:szCs w:val="30"/>
          <w:highlight w:val="none"/>
          <w:lang w:val="en-US" w:eastAsia="zh-CN"/>
        </w:rPr>
        <mc:AlternateContent>
          <mc:Choice Requires="wps">
            <w:drawing>
              <wp:anchor distT="0" distB="0" distL="114300" distR="114300" simplePos="0" relativeHeight="251667456" behindDoc="0" locked="0" layoutInCell="1" allowOverlap="1">
                <wp:simplePos x="0" y="0"/>
                <wp:positionH relativeFrom="column">
                  <wp:posOffset>167640</wp:posOffset>
                </wp:positionH>
                <wp:positionV relativeFrom="paragraph">
                  <wp:posOffset>288925</wp:posOffset>
                </wp:positionV>
                <wp:extent cx="442595" cy="2193290"/>
                <wp:effectExtent l="0" t="0" r="14605" b="16510"/>
                <wp:wrapNone/>
                <wp:docPr id="21" name="文本框 21"/>
                <wp:cNvGraphicFramePr/>
                <a:graphic xmlns:a="http://schemas.openxmlformats.org/drawingml/2006/main">
                  <a:graphicData uri="http://schemas.microsoft.com/office/word/2010/wordprocessingShape">
                    <wps:wsp>
                      <wps:cNvSpPr txBox="1"/>
                      <wps:spPr>
                        <a:xfrm>
                          <a:off x="0" y="0"/>
                          <a:ext cx="442595" cy="2193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A08D6D8">
                            <w:pPr>
                              <w:keepNext w:val="0"/>
                              <w:keepLines w:val="0"/>
                              <w:pageBreakBefore w:val="0"/>
                              <w:widowControl w:val="0"/>
                              <w:kinsoku/>
                              <w:wordWrap/>
                              <w:overflowPunct/>
                              <w:topLinePunct w:val="0"/>
                              <w:bidi w:val="0"/>
                              <w:adjustRightInd w:val="0"/>
                              <w:snapToGrid w:val="0"/>
                              <w:jc w:val="center"/>
                              <w:textAlignment w:val="auto"/>
                              <w:rPr>
                                <w:rFonts w:hint="eastAsia" w:ascii="Times New Roman" w:hAnsi="Times New Roman" w:eastAsia="楷体" w:cs="Times New Roman"/>
                                <w:sz w:val="22"/>
                                <w:szCs w:val="28"/>
                                <w:lang w:eastAsia="zh-CN"/>
                              </w:rPr>
                            </w:pPr>
                            <w:r>
                              <w:rPr>
                                <w:rFonts w:hint="default" w:ascii="Times New Roman" w:hAnsi="Times New Roman" w:eastAsia="楷体" w:cs="Times New Roman"/>
                                <w:sz w:val="22"/>
                                <w:szCs w:val="28"/>
                              </w:rPr>
                              <w:t>聚苯乙烯单位产品</w:t>
                            </w:r>
                            <w:r>
                              <w:rPr>
                                <w:rFonts w:hint="eastAsia" w:ascii="Times New Roman" w:hAnsi="Times New Roman" w:eastAsia="楷体" w:cs="Times New Roman"/>
                                <w:sz w:val="22"/>
                                <w:szCs w:val="28"/>
                                <w:lang w:val="en-US" w:eastAsia="zh-CN"/>
                              </w:rPr>
                              <w:t>碳排放量</w:t>
                            </w:r>
                          </w:p>
                          <w:p w14:paraId="7261601C">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w:t>
                            </w:r>
                            <w:r>
                              <w:rPr>
                                <w:rFonts w:hint="eastAsia" w:ascii="Times New Roman" w:hAnsi="Times New Roman" w:eastAsia="楷体" w:cs="Times New Roman"/>
                                <w:sz w:val="22"/>
                                <w:szCs w:val="28"/>
                                <w:lang w:val="en-US" w:eastAsia="zh-CN"/>
                              </w:rPr>
                              <w:t>CO</w:t>
                            </w:r>
                            <w:r>
                              <w:rPr>
                                <w:rFonts w:hint="eastAsia" w:ascii="Times New Roman" w:hAnsi="Times New Roman" w:eastAsia="楷体" w:cs="Times New Roman"/>
                                <w:sz w:val="22"/>
                                <w:szCs w:val="28"/>
                                <w:vertAlign w:val="subscript"/>
                                <w:lang w:val="en-US" w:eastAsia="zh-CN"/>
                              </w:rPr>
                              <w:t>2</w:t>
                            </w:r>
                            <w:r>
                              <w:rPr>
                                <w:rFonts w:hint="default" w:ascii="Times New Roman" w:hAnsi="Times New Roman" w:eastAsia="楷体" w:cs="Times New Roman"/>
                                <w:sz w:val="22"/>
                                <w:szCs w:val="28"/>
                              </w:rPr>
                              <w:t>/t</w:t>
                            </w:r>
                          </w:p>
                        </w:txbxContent>
                      </wps:txbx>
                      <wps:bodyPr rot="0" spcFirstLastPara="0" vertOverflow="overflow" horzOverflow="overflow" vert="vert270" wrap="square" lIns="0" tIns="0" rIns="0" bIns="0" numCol="1" spcCol="0" rtlCol="0" fromWordArt="0" anchor="ctr" anchorCtr="0" forceAA="0" compatLnSpc="1">
                        <a:noAutofit/>
                      </wps:bodyPr>
                    </wps:wsp>
                  </a:graphicData>
                </a:graphic>
              </wp:anchor>
            </w:drawing>
          </mc:Choice>
          <mc:Fallback>
            <w:pict>
              <v:shape id="_x0000_s1026" o:spid="_x0000_s1026" o:spt="202" type="#_x0000_t202" style="position:absolute;left:0pt;margin-left:13.2pt;margin-top:22.75pt;height:172.7pt;width:34.85pt;z-index:251667456;v-text-anchor:middle;mso-width-relative:page;mso-height-relative:page;" fillcolor="#FFFFFF [3201]" filled="t" stroked="f" coordsize="21600,21600" o:gfxdata="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jRsX69gAAAAIAQAADwAAAAAA&#10;AAABACAAAAAiAAAAZHJzL2Rvd25yZXYueG1sUEsBAhQAFAAAAAgAh07iQHE3IglMAgAAhgQAAA4A&#10;AAAAAAAAAQAgAAAAJwEAAGRycy9lMm9Eb2MueG1sUEsFBgAAAAAGAAYAWQEAAOUFAAAAAA==&#10;">
                <v:fill on="t" focussize="0,0"/>
                <v:stroke on="f" weight="0.5pt"/>
                <v:imagedata o:title=""/>
                <o:lock v:ext="edit" aspectratio="f"/>
                <v:textbox inset="0mm,0mm,0mm,0mm" style="layout-flow:vertical;mso-layout-flow-alt:bottom-to-top;">
                  <w:txbxContent>
                    <w:p w14:paraId="1A08D6D8">
                      <w:pPr>
                        <w:keepNext w:val="0"/>
                        <w:keepLines w:val="0"/>
                        <w:pageBreakBefore w:val="0"/>
                        <w:widowControl w:val="0"/>
                        <w:kinsoku/>
                        <w:wordWrap/>
                        <w:overflowPunct/>
                        <w:topLinePunct w:val="0"/>
                        <w:bidi w:val="0"/>
                        <w:adjustRightInd w:val="0"/>
                        <w:snapToGrid w:val="0"/>
                        <w:jc w:val="center"/>
                        <w:textAlignment w:val="auto"/>
                        <w:rPr>
                          <w:rFonts w:hint="eastAsia" w:ascii="Times New Roman" w:hAnsi="Times New Roman" w:eastAsia="楷体" w:cs="Times New Roman"/>
                          <w:sz w:val="22"/>
                          <w:szCs w:val="28"/>
                          <w:lang w:eastAsia="zh-CN"/>
                        </w:rPr>
                      </w:pPr>
                      <w:r>
                        <w:rPr>
                          <w:rFonts w:hint="default" w:ascii="Times New Roman" w:hAnsi="Times New Roman" w:eastAsia="楷体" w:cs="Times New Roman"/>
                          <w:sz w:val="22"/>
                          <w:szCs w:val="28"/>
                        </w:rPr>
                        <w:t>聚苯乙烯单位产品</w:t>
                      </w:r>
                      <w:r>
                        <w:rPr>
                          <w:rFonts w:hint="eastAsia" w:ascii="Times New Roman" w:hAnsi="Times New Roman" w:eastAsia="楷体" w:cs="Times New Roman"/>
                          <w:sz w:val="22"/>
                          <w:szCs w:val="28"/>
                          <w:lang w:val="en-US" w:eastAsia="zh-CN"/>
                        </w:rPr>
                        <w:t>碳排放量</w:t>
                      </w:r>
                    </w:p>
                    <w:p w14:paraId="7261601C">
                      <w:pPr>
                        <w:keepNext w:val="0"/>
                        <w:keepLines w:val="0"/>
                        <w:pageBreakBefore w:val="0"/>
                        <w:widowControl w:val="0"/>
                        <w:kinsoku/>
                        <w:wordWrap/>
                        <w:overflowPunct/>
                        <w:topLinePunct w:val="0"/>
                        <w:bidi w:val="0"/>
                        <w:adjustRightInd w:val="0"/>
                        <w:snapToGrid w:val="0"/>
                        <w:jc w:val="center"/>
                        <w:textAlignment w:val="auto"/>
                        <w:rPr>
                          <w:rFonts w:hint="default" w:ascii="Times New Roman" w:hAnsi="Times New Roman" w:eastAsia="楷体" w:cs="Times New Roman"/>
                          <w:sz w:val="22"/>
                          <w:szCs w:val="28"/>
                        </w:rPr>
                      </w:pPr>
                      <w:r>
                        <w:rPr>
                          <w:rFonts w:hint="default" w:ascii="Times New Roman" w:hAnsi="Times New Roman" w:eastAsia="楷体" w:cs="Times New Roman"/>
                          <w:sz w:val="22"/>
                          <w:szCs w:val="28"/>
                        </w:rPr>
                        <w:t>kg</w:t>
                      </w:r>
                      <w:r>
                        <w:rPr>
                          <w:rFonts w:hint="eastAsia" w:ascii="Times New Roman" w:hAnsi="Times New Roman" w:eastAsia="楷体" w:cs="Times New Roman"/>
                          <w:sz w:val="22"/>
                          <w:szCs w:val="28"/>
                          <w:lang w:val="en-US" w:eastAsia="zh-CN"/>
                        </w:rPr>
                        <w:t>CO</w:t>
                      </w:r>
                      <w:r>
                        <w:rPr>
                          <w:rFonts w:hint="eastAsia" w:ascii="Times New Roman" w:hAnsi="Times New Roman" w:eastAsia="楷体" w:cs="Times New Roman"/>
                          <w:sz w:val="22"/>
                          <w:szCs w:val="28"/>
                          <w:vertAlign w:val="subscript"/>
                          <w:lang w:val="en-US" w:eastAsia="zh-CN"/>
                        </w:rPr>
                        <w:t>2</w:t>
                      </w:r>
                      <w:r>
                        <w:rPr>
                          <w:rFonts w:hint="default" w:ascii="Times New Roman" w:hAnsi="Times New Roman" w:eastAsia="楷体" w:cs="Times New Roman"/>
                          <w:sz w:val="22"/>
                          <w:szCs w:val="28"/>
                        </w:rPr>
                        <w:t>/t</w:t>
                      </w:r>
                    </w:p>
                  </w:txbxContent>
                </v:textbox>
              </v:shape>
            </w:pict>
          </mc:Fallback>
        </mc:AlternateContent>
      </w:r>
      <w:r>
        <w:rPr>
          <w:color w:val="auto"/>
        </w:rPr>
        <w:drawing>
          <wp:inline distT="0" distB="0" distL="114300" distR="114300">
            <wp:extent cx="5192395" cy="2903220"/>
            <wp:effectExtent l="4445" t="4445" r="22860" b="64135"/>
            <wp:docPr id="7" name="图表 6" descr="7b0a202020202263686172745265734964223a20223230343736373632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1A15D61">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图8 调研企业单位产品二氧化碳排放量数据统计（EPS）</w:t>
      </w:r>
    </w:p>
    <w:p w14:paraId="1C6BFED3">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kern w:val="2"/>
          <w:sz w:val="30"/>
          <w:szCs w:val="30"/>
          <w:highlight w:val="none"/>
          <w:lang w:val="en-US" w:eastAsia="zh-CN" w:bidi="ar-SA"/>
        </w:rPr>
      </w:pPr>
    </w:p>
    <w:p w14:paraId="018820F7">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kern w:val="2"/>
          <w:sz w:val="30"/>
          <w:szCs w:val="30"/>
          <w:highlight w:val="none"/>
          <w:lang w:val="en-US" w:eastAsia="zh-CN" w:bidi="ar-SA"/>
        </w:rPr>
      </w:pPr>
    </w:p>
    <w:p w14:paraId="4AFA59A3">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kern w:val="2"/>
          <w:sz w:val="30"/>
          <w:szCs w:val="30"/>
          <w:highlight w:val="none"/>
          <w:lang w:val="en-US" w:eastAsia="zh-CN" w:bidi="ar-SA"/>
        </w:rPr>
      </w:pPr>
    </w:p>
    <w:p w14:paraId="5E7B2336">
      <w:pPr>
        <w:keepNext w:val="0"/>
        <w:keepLines w:val="0"/>
        <w:pageBreakBefore w:val="0"/>
        <w:widowControl w:val="0"/>
        <w:kinsoku/>
        <w:wordWrap/>
        <w:overflowPunct/>
        <w:topLinePunct w:val="0"/>
        <w:autoSpaceDE/>
        <w:autoSpaceDN/>
        <w:bidi w:val="0"/>
        <w:snapToGrid w:val="0"/>
        <w:spacing w:line="360" w:lineRule="auto"/>
        <w:jc w:val="center"/>
        <w:textAlignment w:val="auto"/>
        <w:rPr>
          <w:rFonts w:hint="eastAsia" w:ascii="仿宋" w:hAnsi="仿宋" w:eastAsia="仿宋" w:cs="仿宋"/>
          <w:color w:val="auto"/>
          <w:kern w:val="2"/>
          <w:sz w:val="30"/>
          <w:szCs w:val="30"/>
          <w:highlight w:val="none"/>
          <w:lang w:val="en-US" w:eastAsia="zh-CN" w:bidi="ar-SA"/>
        </w:rPr>
      </w:pPr>
    </w:p>
    <w:p w14:paraId="74680BE7">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表5 聚苯乙烯单位产品二氧化碳排放量限额等级</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2040"/>
        <w:gridCol w:w="2279"/>
        <w:gridCol w:w="2296"/>
      </w:tblGrid>
      <w:tr w14:paraId="5CF4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118" w:type="pct"/>
            <w:vMerge w:val="restart"/>
            <w:tcBorders>
              <w:tl2br w:val="nil"/>
              <w:tr2bl w:val="nil"/>
            </w:tcBorders>
            <w:noWrap w:val="0"/>
            <w:vAlign w:val="center"/>
          </w:tcPr>
          <w:p w14:paraId="261A51D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产品类型</w:t>
            </w:r>
          </w:p>
        </w:tc>
        <w:tc>
          <w:tcPr>
            <w:tcW w:w="3881" w:type="pct"/>
            <w:gridSpan w:val="3"/>
            <w:tcBorders>
              <w:tl2br w:val="nil"/>
              <w:tr2bl w:val="nil"/>
            </w:tcBorders>
            <w:noWrap w:val="0"/>
            <w:vAlign w:val="center"/>
          </w:tcPr>
          <w:p w14:paraId="0F0BE75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单位产品二氧化碳排放量限额等级</w:t>
            </w:r>
          </w:p>
          <w:p w14:paraId="67969A9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kgCO</w:t>
            </w:r>
            <w:r>
              <w:rPr>
                <w:rFonts w:hint="eastAsia" w:ascii="仿宋" w:hAnsi="仿宋" w:eastAsia="仿宋" w:cs="仿宋"/>
                <w:b/>
                <w:bCs/>
                <w:color w:val="auto"/>
                <w:sz w:val="24"/>
                <w:szCs w:val="24"/>
                <w:highlight w:val="none"/>
                <w:vertAlign w:val="subscript"/>
                <w:lang w:val="en-US" w:eastAsia="zh-CN"/>
              </w:rPr>
              <w:t>2</w:t>
            </w:r>
            <w:r>
              <w:rPr>
                <w:rFonts w:hint="eastAsia" w:ascii="仿宋" w:hAnsi="仿宋" w:eastAsia="仿宋" w:cs="仿宋"/>
                <w:b/>
                <w:bCs/>
                <w:color w:val="auto"/>
                <w:sz w:val="24"/>
                <w:szCs w:val="24"/>
                <w:highlight w:val="none"/>
                <w:lang w:val="en-US" w:eastAsia="zh-CN"/>
              </w:rPr>
              <w:t>/t</w:t>
            </w:r>
          </w:p>
        </w:tc>
      </w:tr>
      <w:tr w14:paraId="65FC4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118" w:type="pct"/>
            <w:vMerge w:val="continue"/>
            <w:tcBorders>
              <w:tl2br w:val="nil"/>
              <w:tr2bl w:val="nil"/>
            </w:tcBorders>
            <w:noWrap w:val="0"/>
            <w:vAlign w:val="center"/>
          </w:tcPr>
          <w:p w14:paraId="4DAFD09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p>
        </w:tc>
        <w:tc>
          <w:tcPr>
            <w:tcW w:w="1197" w:type="pct"/>
            <w:tcBorders>
              <w:tl2br w:val="nil"/>
              <w:tr2bl w:val="nil"/>
            </w:tcBorders>
            <w:noWrap w:val="0"/>
            <w:vAlign w:val="center"/>
          </w:tcPr>
          <w:p w14:paraId="12962DC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337" w:type="pct"/>
            <w:tcBorders>
              <w:tl2br w:val="nil"/>
              <w:tr2bl w:val="nil"/>
            </w:tcBorders>
            <w:noWrap w:val="0"/>
            <w:vAlign w:val="center"/>
          </w:tcPr>
          <w:p w14:paraId="2E22B16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346" w:type="pct"/>
            <w:tcBorders>
              <w:tl2br w:val="nil"/>
              <w:tr2bl w:val="nil"/>
            </w:tcBorders>
            <w:noWrap w:val="0"/>
            <w:vAlign w:val="center"/>
          </w:tcPr>
          <w:p w14:paraId="70D7FE3D">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7AF3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18" w:type="pct"/>
            <w:tcBorders>
              <w:tl2br w:val="nil"/>
              <w:tr2bl w:val="nil"/>
            </w:tcBorders>
            <w:noWrap w:val="0"/>
            <w:vAlign w:val="center"/>
          </w:tcPr>
          <w:p w14:paraId="3F17066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通用级聚苯乙烯（GPPS）/高抗冲聚苯乙烯（HIPS）</w:t>
            </w:r>
          </w:p>
        </w:tc>
        <w:tc>
          <w:tcPr>
            <w:tcW w:w="1197" w:type="pct"/>
            <w:tcBorders>
              <w:tl2br w:val="nil"/>
              <w:tr2bl w:val="nil"/>
            </w:tcBorders>
            <w:noWrap w:val="0"/>
            <w:vAlign w:val="center"/>
          </w:tcPr>
          <w:p w14:paraId="3B976C4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≤60.00</w:t>
            </w:r>
          </w:p>
        </w:tc>
        <w:tc>
          <w:tcPr>
            <w:tcW w:w="1337" w:type="pct"/>
            <w:tcBorders>
              <w:tl2br w:val="nil"/>
              <w:tr2bl w:val="nil"/>
            </w:tcBorders>
            <w:noWrap w:val="0"/>
            <w:vAlign w:val="center"/>
          </w:tcPr>
          <w:p w14:paraId="76868B08">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≤66.00</w:t>
            </w:r>
          </w:p>
        </w:tc>
        <w:tc>
          <w:tcPr>
            <w:tcW w:w="1346" w:type="pct"/>
            <w:tcBorders>
              <w:tl2br w:val="nil"/>
              <w:tr2bl w:val="nil"/>
            </w:tcBorders>
            <w:noWrap w:val="0"/>
            <w:vAlign w:val="center"/>
          </w:tcPr>
          <w:p w14:paraId="5F5973CB">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≤97.80</w:t>
            </w:r>
          </w:p>
        </w:tc>
      </w:tr>
      <w:tr w14:paraId="072C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18" w:type="pct"/>
            <w:tcBorders>
              <w:tl2br w:val="nil"/>
              <w:tr2bl w:val="nil"/>
            </w:tcBorders>
            <w:noWrap w:val="0"/>
            <w:vAlign w:val="center"/>
          </w:tcPr>
          <w:p w14:paraId="72204582">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可发性聚苯乙烯（EPS）</w:t>
            </w:r>
          </w:p>
        </w:tc>
        <w:tc>
          <w:tcPr>
            <w:tcW w:w="2040" w:type="dxa"/>
            <w:tcBorders>
              <w:tl2br w:val="nil"/>
              <w:tr2bl w:val="nil"/>
            </w:tcBorders>
            <w:noWrap w:val="0"/>
            <w:vAlign w:val="center"/>
          </w:tcPr>
          <w:p w14:paraId="1718E83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≤72.00</w:t>
            </w:r>
          </w:p>
        </w:tc>
        <w:tc>
          <w:tcPr>
            <w:tcW w:w="2279" w:type="dxa"/>
            <w:tcBorders>
              <w:tl2br w:val="nil"/>
              <w:tr2bl w:val="nil"/>
            </w:tcBorders>
            <w:noWrap w:val="0"/>
            <w:vAlign w:val="center"/>
          </w:tcPr>
          <w:p w14:paraId="3A44915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≤78.00</w:t>
            </w:r>
          </w:p>
        </w:tc>
        <w:tc>
          <w:tcPr>
            <w:tcW w:w="2296" w:type="dxa"/>
            <w:tcBorders>
              <w:tl2br w:val="nil"/>
              <w:tr2bl w:val="nil"/>
            </w:tcBorders>
            <w:noWrap w:val="0"/>
            <w:vAlign w:val="center"/>
          </w:tcPr>
          <w:p w14:paraId="0267C646">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≤82.00</w:t>
            </w:r>
          </w:p>
        </w:tc>
      </w:tr>
    </w:tbl>
    <w:p w14:paraId="65E258F9">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highlight w:val="none"/>
          <w:lang w:val="en-US" w:eastAsia="zh-CN" w:bidi="ar-SA"/>
        </w:rPr>
      </w:pPr>
    </w:p>
    <w:p w14:paraId="56AE8124">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default"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c）综合分析</w:t>
      </w:r>
    </w:p>
    <w:p w14:paraId="65FFC398">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标准编制组在调研过程中，遵循体现行业先进性的原则，广泛征求并获取了行业主要生产企业及研究机构专家意见。结合行业产业结构调整情况，结合能源限额标准调研数据与行业专家建议。以遵循行业实情同时体现指标先进性、鼓励企业积极实施低碳减排技术的原则。综合方法一、方法二及方法三，缩小各等级差距及等级指标值的合理性，确定了聚苯乙烯单位产品二氧化碳排放量限额等级，见表6。</w:t>
      </w:r>
    </w:p>
    <w:p w14:paraId="1069F94A">
      <w:pPr>
        <w:pStyle w:val="2"/>
        <w:keepNext w:val="0"/>
        <w:keepLines w:val="0"/>
        <w:pageBreakBefore w:val="0"/>
        <w:widowControl w:val="0"/>
        <w:kinsoku/>
        <w:wordWrap/>
        <w:overflowPunct/>
        <w:topLinePunct w:val="0"/>
        <w:autoSpaceDE/>
        <w:autoSpaceDN/>
        <w:bidi w:val="0"/>
        <w:snapToGrid w:val="0"/>
        <w:spacing w:line="360" w:lineRule="auto"/>
        <w:ind w:left="0" w:leftChars="0" w:firstLine="0" w:firstLineChars="0"/>
        <w:jc w:val="center"/>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表6 聚苯乙烯单位产品二氧化碳排放量限额等级</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2040"/>
        <w:gridCol w:w="2279"/>
        <w:gridCol w:w="2296"/>
      </w:tblGrid>
      <w:tr w14:paraId="5F345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118" w:type="pct"/>
            <w:vMerge w:val="restart"/>
            <w:tcBorders>
              <w:tl2br w:val="nil"/>
              <w:tr2bl w:val="nil"/>
            </w:tcBorders>
            <w:noWrap w:val="0"/>
            <w:vAlign w:val="center"/>
          </w:tcPr>
          <w:p w14:paraId="1EC4370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产品类型</w:t>
            </w:r>
          </w:p>
        </w:tc>
        <w:tc>
          <w:tcPr>
            <w:tcW w:w="3881" w:type="pct"/>
            <w:gridSpan w:val="3"/>
            <w:tcBorders>
              <w:tl2br w:val="nil"/>
              <w:tr2bl w:val="nil"/>
            </w:tcBorders>
            <w:noWrap w:val="0"/>
            <w:vAlign w:val="center"/>
          </w:tcPr>
          <w:p w14:paraId="1BCE290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单位产品二氧化碳排放量限额等级</w:t>
            </w:r>
          </w:p>
          <w:p w14:paraId="21BFB4C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kgCO</w:t>
            </w:r>
            <w:r>
              <w:rPr>
                <w:rFonts w:hint="eastAsia" w:ascii="仿宋" w:hAnsi="仿宋" w:eastAsia="仿宋" w:cs="仿宋"/>
                <w:b/>
                <w:bCs/>
                <w:color w:val="auto"/>
                <w:sz w:val="24"/>
                <w:szCs w:val="24"/>
                <w:highlight w:val="none"/>
                <w:vertAlign w:val="subscript"/>
                <w:lang w:val="en-US" w:eastAsia="zh-CN"/>
              </w:rPr>
              <w:t>2</w:t>
            </w:r>
            <w:r>
              <w:rPr>
                <w:rFonts w:hint="eastAsia" w:ascii="仿宋" w:hAnsi="仿宋" w:eastAsia="仿宋" w:cs="仿宋"/>
                <w:b/>
                <w:bCs/>
                <w:color w:val="auto"/>
                <w:sz w:val="24"/>
                <w:szCs w:val="24"/>
                <w:highlight w:val="none"/>
                <w:lang w:val="en-US" w:eastAsia="zh-CN"/>
              </w:rPr>
              <w:t>/t</w:t>
            </w:r>
          </w:p>
        </w:tc>
      </w:tr>
      <w:tr w14:paraId="2D42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118" w:type="pct"/>
            <w:vMerge w:val="continue"/>
            <w:tcBorders>
              <w:tl2br w:val="nil"/>
              <w:tr2bl w:val="nil"/>
            </w:tcBorders>
            <w:noWrap w:val="0"/>
            <w:vAlign w:val="center"/>
          </w:tcPr>
          <w:p w14:paraId="27A610B4">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p>
        </w:tc>
        <w:tc>
          <w:tcPr>
            <w:tcW w:w="1197" w:type="pct"/>
            <w:tcBorders>
              <w:tl2br w:val="nil"/>
              <w:tr2bl w:val="nil"/>
            </w:tcBorders>
            <w:noWrap w:val="0"/>
            <w:vAlign w:val="center"/>
          </w:tcPr>
          <w:p w14:paraId="36AE6DE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1级</w:t>
            </w:r>
          </w:p>
        </w:tc>
        <w:tc>
          <w:tcPr>
            <w:tcW w:w="1337" w:type="pct"/>
            <w:tcBorders>
              <w:tl2br w:val="nil"/>
              <w:tr2bl w:val="nil"/>
            </w:tcBorders>
            <w:noWrap w:val="0"/>
            <w:vAlign w:val="center"/>
          </w:tcPr>
          <w:p w14:paraId="3203A3D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2级</w:t>
            </w:r>
          </w:p>
        </w:tc>
        <w:tc>
          <w:tcPr>
            <w:tcW w:w="1346" w:type="pct"/>
            <w:tcBorders>
              <w:tl2br w:val="nil"/>
              <w:tr2bl w:val="nil"/>
            </w:tcBorders>
            <w:noWrap w:val="0"/>
            <w:vAlign w:val="center"/>
          </w:tcPr>
          <w:p w14:paraId="3949FCD9">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3级</w:t>
            </w:r>
          </w:p>
        </w:tc>
      </w:tr>
      <w:tr w14:paraId="3236D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18" w:type="pct"/>
            <w:tcBorders>
              <w:tl2br w:val="nil"/>
              <w:tr2bl w:val="nil"/>
            </w:tcBorders>
            <w:noWrap w:val="0"/>
            <w:vAlign w:val="center"/>
          </w:tcPr>
          <w:p w14:paraId="71D6180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通用级聚苯乙烯（GPPS）/高抗冲聚苯乙烯（HIPS）</w:t>
            </w:r>
          </w:p>
        </w:tc>
        <w:tc>
          <w:tcPr>
            <w:tcW w:w="1197" w:type="pct"/>
            <w:tcBorders>
              <w:tl2br w:val="nil"/>
              <w:tr2bl w:val="nil"/>
            </w:tcBorders>
            <w:noWrap w:val="0"/>
            <w:vAlign w:val="center"/>
          </w:tcPr>
          <w:p w14:paraId="75C42C0E">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≤59</w:t>
            </w:r>
          </w:p>
        </w:tc>
        <w:tc>
          <w:tcPr>
            <w:tcW w:w="1337" w:type="pct"/>
            <w:tcBorders>
              <w:tl2br w:val="nil"/>
              <w:tr2bl w:val="nil"/>
            </w:tcBorders>
            <w:noWrap w:val="0"/>
            <w:vAlign w:val="center"/>
          </w:tcPr>
          <w:p w14:paraId="78D5BEFA">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≤65</w:t>
            </w:r>
          </w:p>
        </w:tc>
        <w:tc>
          <w:tcPr>
            <w:tcW w:w="1346" w:type="pct"/>
            <w:tcBorders>
              <w:tl2br w:val="nil"/>
              <w:tr2bl w:val="nil"/>
            </w:tcBorders>
            <w:noWrap w:val="0"/>
            <w:vAlign w:val="center"/>
          </w:tcPr>
          <w:p w14:paraId="3CE07BC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≤98</w:t>
            </w:r>
          </w:p>
        </w:tc>
      </w:tr>
      <w:tr w14:paraId="6394B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18" w:type="pct"/>
            <w:tcBorders>
              <w:tl2br w:val="nil"/>
              <w:tr2bl w:val="nil"/>
            </w:tcBorders>
            <w:noWrap w:val="0"/>
            <w:vAlign w:val="center"/>
          </w:tcPr>
          <w:p w14:paraId="69EA4D25">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可发性聚苯乙烯（EPS）</w:t>
            </w:r>
          </w:p>
        </w:tc>
        <w:tc>
          <w:tcPr>
            <w:tcW w:w="1197" w:type="pct"/>
            <w:tcBorders>
              <w:tl2br w:val="nil"/>
              <w:tr2bl w:val="nil"/>
            </w:tcBorders>
            <w:noWrap w:val="0"/>
            <w:vAlign w:val="center"/>
          </w:tcPr>
          <w:p w14:paraId="1E8EB433">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≤72</w:t>
            </w:r>
          </w:p>
        </w:tc>
        <w:tc>
          <w:tcPr>
            <w:tcW w:w="1337" w:type="pct"/>
            <w:tcBorders>
              <w:tl2br w:val="nil"/>
              <w:tr2bl w:val="nil"/>
            </w:tcBorders>
            <w:noWrap w:val="0"/>
            <w:vAlign w:val="center"/>
          </w:tcPr>
          <w:p w14:paraId="5B61F9A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≤76</w:t>
            </w:r>
          </w:p>
        </w:tc>
        <w:tc>
          <w:tcPr>
            <w:tcW w:w="1346" w:type="pct"/>
            <w:tcBorders>
              <w:tl2br w:val="nil"/>
              <w:tr2bl w:val="nil"/>
            </w:tcBorders>
            <w:noWrap w:val="0"/>
            <w:vAlign w:val="center"/>
          </w:tcPr>
          <w:p w14:paraId="5B2175C0">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≤82</w:t>
            </w:r>
          </w:p>
        </w:tc>
      </w:tr>
    </w:tbl>
    <w:p w14:paraId="61C3D62F">
      <w:pPr>
        <w:pStyle w:val="2"/>
        <w:keepNext w:val="0"/>
        <w:keepLines w:val="0"/>
        <w:pageBreakBefore w:val="0"/>
        <w:widowControl w:val="0"/>
        <w:kinsoku/>
        <w:wordWrap/>
        <w:overflowPunct/>
        <w:topLinePunct w:val="0"/>
        <w:autoSpaceDE/>
        <w:autoSpaceDN/>
        <w:bidi w:val="0"/>
        <w:snapToGrid w:val="0"/>
        <w:spacing w:line="360" w:lineRule="auto"/>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备注：平均值取值为向上取整。</w:t>
      </w:r>
    </w:p>
    <w:p w14:paraId="1B6C967A">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综上说明，现有聚苯乙烯装置单位产品综合能耗限定值应符合表3中3级要求。新建及改扩建聚苯乙烯装置单位产品综合能耗准入值应符合表3中2级要求。</w:t>
      </w:r>
    </w:p>
    <w:p w14:paraId="31287600">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现有聚苯乙烯装置单位产品二氧化碳排放量限定值应符合表6中3级要求。新建及改扩建聚苯乙烯装置单位产品二氧化碳排放量准入值应符合表6中2级要求。</w:t>
      </w:r>
    </w:p>
    <w:p w14:paraId="3A534F7A">
      <w:pPr>
        <w:keepNext w:val="0"/>
        <w:keepLines w:val="0"/>
        <w:pageBreakBefore w:val="0"/>
        <w:widowControl w:val="0"/>
        <w:kinsoku/>
        <w:wordWrap/>
        <w:overflowPunct/>
        <w:topLinePunct w:val="0"/>
        <w:autoSpaceDE/>
        <w:autoSpaceDN/>
        <w:bidi w:val="0"/>
        <w:snapToGrid w:val="0"/>
        <w:spacing w:line="360" w:lineRule="auto"/>
        <w:ind w:firstLine="602" w:firstLineChars="200"/>
        <w:textAlignment w:val="auto"/>
        <w:outlineLvl w:val="2"/>
        <w:rPr>
          <w:rFonts w:hint="default"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t>6.附录</w:t>
      </w:r>
    </w:p>
    <w:p w14:paraId="1E89CAD6">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default"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为更好地理解聚苯乙烯装置工艺流程、用能单元及统计范围，本标准给出聚苯乙烯装置能耗统计界区示意图、聚苯乙烯二氧化碳排放核算边界示意图，见附录A。</w:t>
      </w:r>
    </w:p>
    <w:p w14:paraId="144EA311">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附录B给出了聚苯乙烯装置能源折算值，供聚苯乙烯装置综合能源消费量和单位产品综合能耗计算参考使用。</w:t>
      </w:r>
    </w:p>
    <w:p w14:paraId="29799A9B">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default"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附录C给出了聚苯乙烯装置常见化石燃料特性参数缺省值、常见化工产品的含碳量缺省值及其他排放因子缺省值，供聚苯乙烯装置碳排放总量和单位产品碳排放计算参考使用。</w:t>
      </w:r>
    </w:p>
    <w:p w14:paraId="72C8395D">
      <w:pPr>
        <w:keepNext w:val="0"/>
        <w:keepLines w:val="0"/>
        <w:pageBreakBefore w:val="0"/>
        <w:widowControl w:val="0"/>
        <w:kinsoku/>
        <w:wordWrap/>
        <w:overflowPunct/>
        <w:topLinePunct w:val="0"/>
        <w:autoSpaceDE/>
        <w:autoSpaceDN/>
        <w:bidi w:val="0"/>
        <w:snapToGrid w:val="0"/>
        <w:spacing w:line="360" w:lineRule="auto"/>
        <w:ind w:firstLine="643" w:firstLineChars="200"/>
        <w:jc w:val="both"/>
        <w:textAlignment w:val="auto"/>
        <w:outlineLvl w:val="0"/>
        <w:rPr>
          <w:rFonts w:hint="eastAsia" w:ascii="Times New Roman" w:hAnsi="Times New Roman" w:eastAsia="黑体" w:cs="Times New Roman"/>
          <w:b/>
          <w:color w:val="auto"/>
          <w:kern w:val="0"/>
          <w:sz w:val="32"/>
          <w:szCs w:val="32"/>
          <w:lang w:val="en-US" w:eastAsia="zh-CN" w:bidi="ar-SA"/>
        </w:rPr>
      </w:pPr>
      <w:bookmarkStart w:id="0" w:name="_Toc98928376"/>
      <w:r>
        <w:rPr>
          <w:rFonts w:hint="eastAsia" w:ascii="Times New Roman" w:hAnsi="Times New Roman" w:eastAsia="黑体" w:cs="Times New Roman"/>
          <w:b/>
          <w:color w:val="auto"/>
          <w:kern w:val="0"/>
          <w:sz w:val="32"/>
          <w:szCs w:val="32"/>
          <w:lang w:val="en-US" w:eastAsia="zh-CN" w:bidi="ar-SA"/>
        </w:rPr>
        <w:t>六、与现行法律法规和强制性标准的关系</w:t>
      </w:r>
      <w:bookmarkEnd w:id="0"/>
    </w:p>
    <w:p w14:paraId="71308583">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至标准编制之日尚未发现与计划编制标准相冲突的现行法律法规和强制性国家标准。</w:t>
      </w:r>
    </w:p>
    <w:p w14:paraId="3DFE3811">
      <w:pPr>
        <w:keepNext w:val="0"/>
        <w:keepLines w:val="0"/>
        <w:pageBreakBefore w:val="0"/>
        <w:widowControl w:val="0"/>
        <w:kinsoku/>
        <w:wordWrap/>
        <w:overflowPunct/>
        <w:topLinePunct w:val="0"/>
        <w:autoSpaceDE/>
        <w:autoSpaceDN/>
        <w:bidi w:val="0"/>
        <w:snapToGrid w:val="0"/>
        <w:spacing w:line="360" w:lineRule="auto"/>
        <w:ind w:firstLine="643" w:firstLineChars="200"/>
        <w:jc w:val="both"/>
        <w:textAlignment w:val="auto"/>
        <w:outlineLvl w:val="0"/>
        <w:rPr>
          <w:rFonts w:hint="eastAsia" w:ascii="Times New Roman" w:hAnsi="Times New Roman" w:eastAsia="黑体" w:cs="Times New Roman"/>
          <w:b/>
          <w:color w:val="auto"/>
          <w:kern w:val="0"/>
          <w:sz w:val="32"/>
          <w:szCs w:val="32"/>
          <w:lang w:val="en-US" w:eastAsia="zh-CN" w:bidi="ar-SA"/>
        </w:rPr>
      </w:pPr>
      <w:bookmarkStart w:id="1" w:name="_Toc98928378"/>
      <w:r>
        <w:rPr>
          <w:rFonts w:hint="eastAsia" w:ascii="Times New Roman" w:hAnsi="Times New Roman" w:eastAsia="黑体" w:cs="Times New Roman"/>
          <w:b/>
          <w:color w:val="auto"/>
          <w:kern w:val="0"/>
          <w:sz w:val="32"/>
          <w:szCs w:val="32"/>
          <w:lang w:val="en-US" w:eastAsia="zh-CN" w:bidi="ar-SA"/>
        </w:rPr>
        <w:t>七、贯彻标准的措施建议</w:t>
      </w:r>
      <w:bookmarkEnd w:id="1"/>
    </w:p>
    <w:p w14:paraId="149EE8DD">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为了贯彻好本标准，使其有效发挥作用，建议在标准发布后，在广东省聚苯乙烯生产企业进行宣传与贯彻，并组织有关部门进行学习和培训。</w:t>
      </w:r>
      <w:bookmarkStart w:id="2" w:name="_Toc98928379"/>
    </w:p>
    <w:p w14:paraId="79CD83F5">
      <w:pPr>
        <w:keepNext w:val="0"/>
        <w:keepLines w:val="0"/>
        <w:pageBreakBefore w:val="0"/>
        <w:widowControl w:val="0"/>
        <w:kinsoku/>
        <w:wordWrap/>
        <w:overflowPunct/>
        <w:topLinePunct w:val="0"/>
        <w:autoSpaceDE/>
        <w:autoSpaceDN/>
        <w:bidi w:val="0"/>
        <w:snapToGrid w:val="0"/>
        <w:spacing w:line="360" w:lineRule="auto"/>
        <w:ind w:firstLine="643" w:firstLineChars="200"/>
        <w:jc w:val="both"/>
        <w:textAlignment w:val="auto"/>
        <w:outlineLvl w:val="0"/>
        <w:rPr>
          <w:rFonts w:hint="eastAsia" w:ascii="Times New Roman" w:hAnsi="Times New Roman" w:eastAsia="黑体" w:cs="Times New Roman"/>
          <w:b/>
          <w:color w:val="auto"/>
          <w:kern w:val="0"/>
          <w:sz w:val="32"/>
          <w:szCs w:val="32"/>
          <w:lang w:val="en-US" w:eastAsia="zh-CN" w:bidi="ar-SA"/>
        </w:rPr>
      </w:pPr>
      <w:r>
        <w:rPr>
          <w:rFonts w:hint="eastAsia" w:ascii="Times New Roman" w:hAnsi="Times New Roman" w:eastAsia="黑体" w:cs="Times New Roman"/>
          <w:b/>
          <w:color w:val="auto"/>
          <w:kern w:val="0"/>
          <w:sz w:val="32"/>
          <w:szCs w:val="32"/>
          <w:lang w:val="en-US" w:eastAsia="zh-CN" w:bidi="ar-SA"/>
        </w:rPr>
        <w:t>八、废止现行有关标准的建议</w:t>
      </w:r>
      <w:bookmarkEnd w:id="2"/>
      <w:r>
        <w:rPr>
          <w:rFonts w:hint="eastAsia" w:ascii="Times New Roman" w:hAnsi="Times New Roman" w:eastAsia="黑体" w:cs="Times New Roman"/>
          <w:b/>
          <w:color w:val="auto"/>
          <w:kern w:val="0"/>
          <w:sz w:val="32"/>
          <w:szCs w:val="32"/>
          <w:lang w:val="en-US" w:eastAsia="zh-CN" w:bidi="ar-SA"/>
        </w:rPr>
        <w:t xml:space="preserve"> </w:t>
      </w:r>
    </w:p>
    <w:p w14:paraId="45B90B9E">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无。</w:t>
      </w:r>
    </w:p>
    <w:p w14:paraId="3F713531">
      <w:pPr>
        <w:keepNext w:val="0"/>
        <w:keepLines w:val="0"/>
        <w:pageBreakBefore w:val="0"/>
        <w:widowControl w:val="0"/>
        <w:kinsoku/>
        <w:wordWrap/>
        <w:overflowPunct/>
        <w:topLinePunct w:val="0"/>
        <w:autoSpaceDE/>
        <w:autoSpaceDN/>
        <w:bidi w:val="0"/>
        <w:snapToGrid w:val="0"/>
        <w:spacing w:line="360" w:lineRule="auto"/>
        <w:ind w:firstLine="643" w:firstLineChars="200"/>
        <w:jc w:val="both"/>
        <w:textAlignment w:val="auto"/>
        <w:outlineLvl w:val="0"/>
        <w:rPr>
          <w:rFonts w:hint="eastAsia" w:ascii="Times New Roman" w:hAnsi="Times New Roman" w:eastAsia="黑体" w:cs="Times New Roman"/>
          <w:b/>
          <w:color w:val="auto"/>
          <w:kern w:val="0"/>
          <w:sz w:val="32"/>
          <w:szCs w:val="32"/>
          <w:lang w:val="en-US" w:eastAsia="zh-CN" w:bidi="ar-SA"/>
        </w:rPr>
      </w:pPr>
      <w:bookmarkStart w:id="3" w:name="_Toc98928380"/>
      <w:r>
        <w:rPr>
          <w:rFonts w:hint="eastAsia" w:ascii="Times New Roman" w:hAnsi="Times New Roman" w:eastAsia="黑体" w:cs="Times New Roman"/>
          <w:b/>
          <w:color w:val="auto"/>
          <w:kern w:val="0"/>
          <w:sz w:val="32"/>
          <w:szCs w:val="32"/>
          <w:lang w:val="en-US" w:eastAsia="zh-CN" w:bidi="ar-SA"/>
        </w:rPr>
        <w:t>九、其他应予以说明的事项</w:t>
      </w:r>
      <w:bookmarkEnd w:id="3"/>
      <w:r>
        <w:rPr>
          <w:rFonts w:hint="eastAsia" w:ascii="Times New Roman" w:hAnsi="Times New Roman" w:eastAsia="黑体" w:cs="Times New Roman"/>
          <w:b/>
          <w:color w:val="auto"/>
          <w:kern w:val="0"/>
          <w:sz w:val="32"/>
          <w:szCs w:val="32"/>
          <w:lang w:val="en-US" w:eastAsia="zh-CN" w:bidi="ar-SA"/>
        </w:rPr>
        <w:t xml:space="preserve"> </w:t>
      </w:r>
    </w:p>
    <w:p w14:paraId="7BA8A0BE">
      <w:pPr>
        <w:keepNext w:val="0"/>
        <w:keepLines w:val="0"/>
        <w:pageBreakBefore w:val="0"/>
        <w:widowControl w:val="0"/>
        <w:kinsoku/>
        <w:wordWrap/>
        <w:overflowPunct/>
        <w:topLinePunct w:val="0"/>
        <w:autoSpaceDE/>
        <w:autoSpaceDN/>
        <w:bidi w:val="0"/>
        <w:snapToGrid w:val="0"/>
        <w:spacing w:line="360" w:lineRule="auto"/>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无。</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4CA8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50635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50635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C8233C"/>
    <w:multiLevelType w:val="singleLevel"/>
    <w:tmpl w:val="84C8233C"/>
    <w:lvl w:ilvl="0" w:tentative="0">
      <w:start w:val="1"/>
      <w:numFmt w:val="decimal"/>
      <w:suff w:val="space"/>
      <w:lvlText w:val="(%1)"/>
      <w:lvlJc w:val="left"/>
      <w:pPr>
        <w:ind w:left="0" w:leftChars="0" w:firstLine="0" w:firstLineChars="0"/>
      </w:pPr>
      <w:rPr>
        <w:rFonts w:hint="default"/>
      </w:rPr>
    </w:lvl>
  </w:abstractNum>
  <w:abstractNum w:abstractNumId="1">
    <w:nsid w:val="1FC91163"/>
    <w:multiLevelType w:val="multilevel"/>
    <w:tmpl w:val="1FC91163"/>
    <w:lvl w:ilvl="0" w:tentative="0">
      <w:start w:val="1"/>
      <w:numFmt w:val="decimal"/>
      <w:pStyle w:val="19"/>
      <w:suff w:val="nothing"/>
      <w:lvlText w:val="%1　"/>
      <w:lvlJc w:val="left"/>
      <w:rPr>
        <w:rFonts w:hint="eastAsia" w:ascii="黑体" w:hAnsi="Times New Roman" w:eastAsia="黑体" w:cs="Times New Roman"/>
        <w:b w:val="0"/>
        <w:i w:val="0"/>
        <w:sz w:val="21"/>
        <w:szCs w:val="21"/>
      </w:rPr>
    </w:lvl>
    <w:lvl w:ilvl="1" w:tentative="0">
      <w:start w:val="1"/>
      <w:numFmt w:val="decimal"/>
      <w:pStyle w:val="16"/>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suff w:val="nothing"/>
      <w:lvlText w:val="%1.%2.%3.%4.%5　"/>
      <w:lvlJc w:val="left"/>
      <w:rPr>
        <w:rFonts w:hint="eastAsia" w:ascii="黑体" w:hAnsi="Times New Roman" w:eastAsia="黑体" w:cs="Times New Roman"/>
        <w:b w:val="0"/>
        <w:i w:val="0"/>
        <w:sz w:val="21"/>
      </w:rPr>
    </w:lvl>
    <w:lvl w:ilvl="5" w:tentative="0">
      <w:start w:val="1"/>
      <w:numFmt w:val="decimal"/>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5060"/>
        </w:tabs>
        <w:ind w:left="4678" w:hanging="1418"/>
      </w:pPr>
      <w:rPr>
        <w:rFonts w:hint="eastAsia" w:cs="Times New Roman"/>
      </w:rPr>
    </w:lvl>
    <w:lvl w:ilvl="8" w:tentative="0">
      <w:start w:val="1"/>
      <w:numFmt w:val="decimal"/>
      <w:lvlText w:val="%1.%2.%3.%4.%5.%6.%7.%8.%9"/>
      <w:lvlJc w:val="left"/>
      <w:pPr>
        <w:tabs>
          <w:tab w:val="left" w:pos="5486"/>
        </w:tabs>
        <w:ind w:left="5386" w:hanging="1700"/>
      </w:pPr>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3MGU4OTBlOTdhZTg2ZDhjMmFlMjExNmY5OTA5MWMifQ=="/>
  </w:docVars>
  <w:rsids>
    <w:rsidRoot w:val="2B5F18F1"/>
    <w:rsid w:val="00283BEC"/>
    <w:rsid w:val="00611D3B"/>
    <w:rsid w:val="008D6FFB"/>
    <w:rsid w:val="00DC19CB"/>
    <w:rsid w:val="01057174"/>
    <w:rsid w:val="0123584C"/>
    <w:rsid w:val="01267613"/>
    <w:rsid w:val="01710365"/>
    <w:rsid w:val="017D58B3"/>
    <w:rsid w:val="01DA23AF"/>
    <w:rsid w:val="0204567E"/>
    <w:rsid w:val="02346124"/>
    <w:rsid w:val="0236335D"/>
    <w:rsid w:val="02385327"/>
    <w:rsid w:val="02445A7A"/>
    <w:rsid w:val="02450BE7"/>
    <w:rsid w:val="028871D8"/>
    <w:rsid w:val="029167E5"/>
    <w:rsid w:val="02A00385"/>
    <w:rsid w:val="02A80A82"/>
    <w:rsid w:val="031C2519"/>
    <w:rsid w:val="031E276F"/>
    <w:rsid w:val="03313DB6"/>
    <w:rsid w:val="033828EF"/>
    <w:rsid w:val="034B2E38"/>
    <w:rsid w:val="034D77D1"/>
    <w:rsid w:val="035C7E76"/>
    <w:rsid w:val="035E0DBD"/>
    <w:rsid w:val="0364380A"/>
    <w:rsid w:val="036C17D6"/>
    <w:rsid w:val="03726617"/>
    <w:rsid w:val="03806F86"/>
    <w:rsid w:val="03B56796"/>
    <w:rsid w:val="03D74C3A"/>
    <w:rsid w:val="03D96696"/>
    <w:rsid w:val="03E2554B"/>
    <w:rsid w:val="03FF3F68"/>
    <w:rsid w:val="04141034"/>
    <w:rsid w:val="041B0A5C"/>
    <w:rsid w:val="042B209A"/>
    <w:rsid w:val="04476357"/>
    <w:rsid w:val="04642403"/>
    <w:rsid w:val="048878E2"/>
    <w:rsid w:val="048C54B6"/>
    <w:rsid w:val="049E2C49"/>
    <w:rsid w:val="04AD2864"/>
    <w:rsid w:val="04AE367F"/>
    <w:rsid w:val="04DD547E"/>
    <w:rsid w:val="05060A28"/>
    <w:rsid w:val="052B394A"/>
    <w:rsid w:val="05335315"/>
    <w:rsid w:val="05461B09"/>
    <w:rsid w:val="054C5671"/>
    <w:rsid w:val="05645D5E"/>
    <w:rsid w:val="056A7B0A"/>
    <w:rsid w:val="05B20FB6"/>
    <w:rsid w:val="05B65713"/>
    <w:rsid w:val="05CA44E8"/>
    <w:rsid w:val="05E9395A"/>
    <w:rsid w:val="05EE467B"/>
    <w:rsid w:val="06055520"/>
    <w:rsid w:val="061F37F4"/>
    <w:rsid w:val="062B17DE"/>
    <w:rsid w:val="069F7723"/>
    <w:rsid w:val="06A74829"/>
    <w:rsid w:val="06FF6413"/>
    <w:rsid w:val="072B0FB7"/>
    <w:rsid w:val="07A62C95"/>
    <w:rsid w:val="07CD6512"/>
    <w:rsid w:val="08007EE6"/>
    <w:rsid w:val="08162345"/>
    <w:rsid w:val="0822060B"/>
    <w:rsid w:val="086320A3"/>
    <w:rsid w:val="086532A8"/>
    <w:rsid w:val="086724C2"/>
    <w:rsid w:val="08A0301D"/>
    <w:rsid w:val="08A0490D"/>
    <w:rsid w:val="09002112"/>
    <w:rsid w:val="090146C5"/>
    <w:rsid w:val="090B7225"/>
    <w:rsid w:val="091D1CD3"/>
    <w:rsid w:val="09495447"/>
    <w:rsid w:val="09622496"/>
    <w:rsid w:val="096864F2"/>
    <w:rsid w:val="09C15C02"/>
    <w:rsid w:val="09DF5DD3"/>
    <w:rsid w:val="0A706F01"/>
    <w:rsid w:val="0A865A1E"/>
    <w:rsid w:val="0A9B514A"/>
    <w:rsid w:val="0AAA2B3A"/>
    <w:rsid w:val="0AF90CB9"/>
    <w:rsid w:val="0B1F0E32"/>
    <w:rsid w:val="0B293A5F"/>
    <w:rsid w:val="0BD72466"/>
    <w:rsid w:val="0BF84AE2"/>
    <w:rsid w:val="0C01642A"/>
    <w:rsid w:val="0C0D15D3"/>
    <w:rsid w:val="0C137F64"/>
    <w:rsid w:val="0C161FF4"/>
    <w:rsid w:val="0C28640C"/>
    <w:rsid w:val="0C3F54F2"/>
    <w:rsid w:val="0C760F26"/>
    <w:rsid w:val="0D1C7D1F"/>
    <w:rsid w:val="0D58511B"/>
    <w:rsid w:val="0D9657C1"/>
    <w:rsid w:val="0DC037BD"/>
    <w:rsid w:val="0DC91B42"/>
    <w:rsid w:val="0E7B2F7A"/>
    <w:rsid w:val="0ECB733C"/>
    <w:rsid w:val="0EE54474"/>
    <w:rsid w:val="0F29227F"/>
    <w:rsid w:val="0F384F12"/>
    <w:rsid w:val="0F9A28BF"/>
    <w:rsid w:val="0FA83B24"/>
    <w:rsid w:val="0FD26A7E"/>
    <w:rsid w:val="0FED1688"/>
    <w:rsid w:val="100D3BA5"/>
    <w:rsid w:val="10591ED3"/>
    <w:rsid w:val="106F460A"/>
    <w:rsid w:val="109A05F6"/>
    <w:rsid w:val="10A5627E"/>
    <w:rsid w:val="10DD1A4C"/>
    <w:rsid w:val="11BA3663"/>
    <w:rsid w:val="11D81D3B"/>
    <w:rsid w:val="11F50B3F"/>
    <w:rsid w:val="12364728"/>
    <w:rsid w:val="124F757F"/>
    <w:rsid w:val="12784550"/>
    <w:rsid w:val="127B0E0E"/>
    <w:rsid w:val="128123D2"/>
    <w:rsid w:val="129F0D84"/>
    <w:rsid w:val="12CD4126"/>
    <w:rsid w:val="13070B2A"/>
    <w:rsid w:val="134358DA"/>
    <w:rsid w:val="13A00D4C"/>
    <w:rsid w:val="13B7188E"/>
    <w:rsid w:val="13D1738A"/>
    <w:rsid w:val="13F05A62"/>
    <w:rsid w:val="14056C11"/>
    <w:rsid w:val="14346C48"/>
    <w:rsid w:val="149D101A"/>
    <w:rsid w:val="14CF2DFF"/>
    <w:rsid w:val="14EF3F6B"/>
    <w:rsid w:val="15210A86"/>
    <w:rsid w:val="152534E9"/>
    <w:rsid w:val="152754B3"/>
    <w:rsid w:val="1543790F"/>
    <w:rsid w:val="15897F1C"/>
    <w:rsid w:val="15B01446"/>
    <w:rsid w:val="15C410DC"/>
    <w:rsid w:val="15E778B1"/>
    <w:rsid w:val="15F93CFE"/>
    <w:rsid w:val="16012FF0"/>
    <w:rsid w:val="163653BC"/>
    <w:rsid w:val="166242C9"/>
    <w:rsid w:val="167D1103"/>
    <w:rsid w:val="16C46DCC"/>
    <w:rsid w:val="16C7783C"/>
    <w:rsid w:val="16CA71E5"/>
    <w:rsid w:val="16D276A1"/>
    <w:rsid w:val="16D847EC"/>
    <w:rsid w:val="173B3498"/>
    <w:rsid w:val="175C6B1B"/>
    <w:rsid w:val="17E07B9B"/>
    <w:rsid w:val="1817657D"/>
    <w:rsid w:val="182E0907"/>
    <w:rsid w:val="18C9082D"/>
    <w:rsid w:val="18E473A1"/>
    <w:rsid w:val="19043765"/>
    <w:rsid w:val="1910625E"/>
    <w:rsid w:val="19137AFC"/>
    <w:rsid w:val="192B7F48"/>
    <w:rsid w:val="19726F19"/>
    <w:rsid w:val="199926F8"/>
    <w:rsid w:val="19B07BE2"/>
    <w:rsid w:val="19E82D37"/>
    <w:rsid w:val="19F409F6"/>
    <w:rsid w:val="1A0A0EFF"/>
    <w:rsid w:val="1A2E218D"/>
    <w:rsid w:val="1A3D23C9"/>
    <w:rsid w:val="1A6C1BBA"/>
    <w:rsid w:val="1A71322F"/>
    <w:rsid w:val="1A864A2A"/>
    <w:rsid w:val="1AA36D9E"/>
    <w:rsid w:val="1B4641B9"/>
    <w:rsid w:val="1B5E1503"/>
    <w:rsid w:val="1B624CBD"/>
    <w:rsid w:val="1B7927E1"/>
    <w:rsid w:val="1C6E5776"/>
    <w:rsid w:val="1C7C5572"/>
    <w:rsid w:val="1C8C0A79"/>
    <w:rsid w:val="1C9378D2"/>
    <w:rsid w:val="1CB258B3"/>
    <w:rsid w:val="1CBA0A17"/>
    <w:rsid w:val="1CC94BF2"/>
    <w:rsid w:val="1D3E783E"/>
    <w:rsid w:val="1D65219D"/>
    <w:rsid w:val="1D6D400B"/>
    <w:rsid w:val="1D76747F"/>
    <w:rsid w:val="1E1F0858"/>
    <w:rsid w:val="1E7F5DC2"/>
    <w:rsid w:val="1E8A0861"/>
    <w:rsid w:val="1EAC5247"/>
    <w:rsid w:val="1EB53B30"/>
    <w:rsid w:val="1ED90CFA"/>
    <w:rsid w:val="1EDA286F"/>
    <w:rsid w:val="1FB8489F"/>
    <w:rsid w:val="1FFD2FD5"/>
    <w:rsid w:val="201D1963"/>
    <w:rsid w:val="205630F0"/>
    <w:rsid w:val="20686980"/>
    <w:rsid w:val="208539D6"/>
    <w:rsid w:val="20967991"/>
    <w:rsid w:val="20FF5536"/>
    <w:rsid w:val="21093CBF"/>
    <w:rsid w:val="21666426"/>
    <w:rsid w:val="218A73F3"/>
    <w:rsid w:val="21A734D8"/>
    <w:rsid w:val="21B76AE0"/>
    <w:rsid w:val="21C61BB0"/>
    <w:rsid w:val="21D544E9"/>
    <w:rsid w:val="21D87632"/>
    <w:rsid w:val="21E35F26"/>
    <w:rsid w:val="2200667A"/>
    <w:rsid w:val="22805529"/>
    <w:rsid w:val="22E9024C"/>
    <w:rsid w:val="22EA5D72"/>
    <w:rsid w:val="22F10EAE"/>
    <w:rsid w:val="233A56FA"/>
    <w:rsid w:val="23711FEF"/>
    <w:rsid w:val="23A6593D"/>
    <w:rsid w:val="23B44202"/>
    <w:rsid w:val="23CD438C"/>
    <w:rsid w:val="23EF4B7E"/>
    <w:rsid w:val="24170DE9"/>
    <w:rsid w:val="24390D5F"/>
    <w:rsid w:val="24A22A73"/>
    <w:rsid w:val="24D31BA1"/>
    <w:rsid w:val="2503311B"/>
    <w:rsid w:val="2538184A"/>
    <w:rsid w:val="254B6F9C"/>
    <w:rsid w:val="25F807A6"/>
    <w:rsid w:val="262C2034"/>
    <w:rsid w:val="262E5801"/>
    <w:rsid w:val="2641191F"/>
    <w:rsid w:val="265579A6"/>
    <w:rsid w:val="26946721"/>
    <w:rsid w:val="26C03EA3"/>
    <w:rsid w:val="27475541"/>
    <w:rsid w:val="27595274"/>
    <w:rsid w:val="279B588D"/>
    <w:rsid w:val="27F9085B"/>
    <w:rsid w:val="28051C89"/>
    <w:rsid w:val="280B47C0"/>
    <w:rsid w:val="282D2989"/>
    <w:rsid w:val="28845099"/>
    <w:rsid w:val="28940C5A"/>
    <w:rsid w:val="28F416F8"/>
    <w:rsid w:val="291678C1"/>
    <w:rsid w:val="292C0E92"/>
    <w:rsid w:val="29341AF5"/>
    <w:rsid w:val="29A62C82"/>
    <w:rsid w:val="29B66B85"/>
    <w:rsid w:val="29BD2DBC"/>
    <w:rsid w:val="29D67050"/>
    <w:rsid w:val="29FB0865"/>
    <w:rsid w:val="2A1F34D4"/>
    <w:rsid w:val="2A222295"/>
    <w:rsid w:val="2A5561C7"/>
    <w:rsid w:val="2ACB33A6"/>
    <w:rsid w:val="2AED28A3"/>
    <w:rsid w:val="2B4F321F"/>
    <w:rsid w:val="2B5F18F1"/>
    <w:rsid w:val="2BB313F7"/>
    <w:rsid w:val="2BF0303D"/>
    <w:rsid w:val="2C7211DD"/>
    <w:rsid w:val="2C940338"/>
    <w:rsid w:val="2CAF6281"/>
    <w:rsid w:val="2D0A387C"/>
    <w:rsid w:val="2D564730"/>
    <w:rsid w:val="2D766C76"/>
    <w:rsid w:val="2DB72CF5"/>
    <w:rsid w:val="2E026666"/>
    <w:rsid w:val="2E3D144C"/>
    <w:rsid w:val="2EC55694"/>
    <w:rsid w:val="2ECF3BF0"/>
    <w:rsid w:val="2F191E0F"/>
    <w:rsid w:val="2F2C13A9"/>
    <w:rsid w:val="2F3960B7"/>
    <w:rsid w:val="2F427C86"/>
    <w:rsid w:val="2F5E167A"/>
    <w:rsid w:val="2FDC569F"/>
    <w:rsid w:val="2FFD0E93"/>
    <w:rsid w:val="304170BA"/>
    <w:rsid w:val="304E7940"/>
    <w:rsid w:val="305667F5"/>
    <w:rsid w:val="30760C45"/>
    <w:rsid w:val="308242CF"/>
    <w:rsid w:val="30D272BE"/>
    <w:rsid w:val="31160623"/>
    <w:rsid w:val="312B5ED3"/>
    <w:rsid w:val="31573FE0"/>
    <w:rsid w:val="3187194F"/>
    <w:rsid w:val="31F745EA"/>
    <w:rsid w:val="325748A5"/>
    <w:rsid w:val="32AE2985"/>
    <w:rsid w:val="32EA40D1"/>
    <w:rsid w:val="335607FA"/>
    <w:rsid w:val="33D06DBD"/>
    <w:rsid w:val="33E22C61"/>
    <w:rsid w:val="342F3231"/>
    <w:rsid w:val="34C74D5B"/>
    <w:rsid w:val="34D57EF5"/>
    <w:rsid w:val="352960C1"/>
    <w:rsid w:val="354C1378"/>
    <w:rsid w:val="35F96C7C"/>
    <w:rsid w:val="35FE0987"/>
    <w:rsid w:val="36101AA6"/>
    <w:rsid w:val="36331109"/>
    <w:rsid w:val="365C335F"/>
    <w:rsid w:val="368816D2"/>
    <w:rsid w:val="36C20D6D"/>
    <w:rsid w:val="36C66189"/>
    <w:rsid w:val="36D84DB7"/>
    <w:rsid w:val="372C30A1"/>
    <w:rsid w:val="372D083E"/>
    <w:rsid w:val="373E23B9"/>
    <w:rsid w:val="37567612"/>
    <w:rsid w:val="37611E07"/>
    <w:rsid w:val="37826ABB"/>
    <w:rsid w:val="378A6A48"/>
    <w:rsid w:val="37B53E87"/>
    <w:rsid w:val="37D363A5"/>
    <w:rsid w:val="380B6117"/>
    <w:rsid w:val="382721DF"/>
    <w:rsid w:val="38CA4224"/>
    <w:rsid w:val="393873DF"/>
    <w:rsid w:val="397330FD"/>
    <w:rsid w:val="39DB515E"/>
    <w:rsid w:val="3A125E82"/>
    <w:rsid w:val="3A2432CF"/>
    <w:rsid w:val="3A617C21"/>
    <w:rsid w:val="3A970438"/>
    <w:rsid w:val="3AAD1707"/>
    <w:rsid w:val="3B000B22"/>
    <w:rsid w:val="3BC211E2"/>
    <w:rsid w:val="3BD36A25"/>
    <w:rsid w:val="3BFE7C37"/>
    <w:rsid w:val="3C4612AF"/>
    <w:rsid w:val="3C5F0D24"/>
    <w:rsid w:val="3C7E335B"/>
    <w:rsid w:val="3C89198F"/>
    <w:rsid w:val="3C8A3C61"/>
    <w:rsid w:val="3CB46D7D"/>
    <w:rsid w:val="3CFC0724"/>
    <w:rsid w:val="3D362BD2"/>
    <w:rsid w:val="3DB0061B"/>
    <w:rsid w:val="3DB34302"/>
    <w:rsid w:val="3DC54FBA"/>
    <w:rsid w:val="3DD478D5"/>
    <w:rsid w:val="3E0C5E53"/>
    <w:rsid w:val="3E7551CA"/>
    <w:rsid w:val="3EBB7392"/>
    <w:rsid w:val="3F2F2758"/>
    <w:rsid w:val="3F7040AC"/>
    <w:rsid w:val="3FA554C1"/>
    <w:rsid w:val="3FEE7D66"/>
    <w:rsid w:val="406E07E8"/>
    <w:rsid w:val="40A35A86"/>
    <w:rsid w:val="40F64D19"/>
    <w:rsid w:val="41304EAA"/>
    <w:rsid w:val="41317E02"/>
    <w:rsid w:val="41DF489C"/>
    <w:rsid w:val="41E2438C"/>
    <w:rsid w:val="41F31C35"/>
    <w:rsid w:val="42312C1E"/>
    <w:rsid w:val="42741986"/>
    <w:rsid w:val="431C4CCF"/>
    <w:rsid w:val="43752EA3"/>
    <w:rsid w:val="43994622"/>
    <w:rsid w:val="43C755E8"/>
    <w:rsid w:val="43CE2E1A"/>
    <w:rsid w:val="440A3726"/>
    <w:rsid w:val="444A653E"/>
    <w:rsid w:val="448259B3"/>
    <w:rsid w:val="44D43D68"/>
    <w:rsid w:val="45350C77"/>
    <w:rsid w:val="456F14C8"/>
    <w:rsid w:val="45D361E6"/>
    <w:rsid w:val="45F57EF3"/>
    <w:rsid w:val="463B050F"/>
    <w:rsid w:val="46BA1434"/>
    <w:rsid w:val="472A22BC"/>
    <w:rsid w:val="472F1D40"/>
    <w:rsid w:val="477932D0"/>
    <w:rsid w:val="47B85E42"/>
    <w:rsid w:val="48154F2A"/>
    <w:rsid w:val="48C21039"/>
    <w:rsid w:val="48D00887"/>
    <w:rsid w:val="49182190"/>
    <w:rsid w:val="496E53B1"/>
    <w:rsid w:val="49C2281B"/>
    <w:rsid w:val="4A374734"/>
    <w:rsid w:val="4A5303DD"/>
    <w:rsid w:val="4A8A5EAB"/>
    <w:rsid w:val="4AC00FE3"/>
    <w:rsid w:val="4AD66A58"/>
    <w:rsid w:val="4B013AD5"/>
    <w:rsid w:val="4B0C6EE3"/>
    <w:rsid w:val="4B272E10"/>
    <w:rsid w:val="4B2B6B4B"/>
    <w:rsid w:val="4B887D52"/>
    <w:rsid w:val="4BA43467"/>
    <w:rsid w:val="4C676977"/>
    <w:rsid w:val="4C771B75"/>
    <w:rsid w:val="4CB15087"/>
    <w:rsid w:val="4D8A271A"/>
    <w:rsid w:val="4DD0778F"/>
    <w:rsid w:val="4DF325DC"/>
    <w:rsid w:val="4E0F0B9A"/>
    <w:rsid w:val="4E222111"/>
    <w:rsid w:val="4E2D4CA9"/>
    <w:rsid w:val="4E303F58"/>
    <w:rsid w:val="4E5A43E4"/>
    <w:rsid w:val="4E616639"/>
    <w:rsid w:val="4E7C7CC1"/>
    <w:rsid w:val="4E962FB9"/>
    <w:rsid w:val="4EAA0B08"/>
    <w:rsid w:val="4EE52DB4"/>
    <w:rsid w:val="4F053BF6"/>
    <w:rsid w:val="4F3246B7"/>
    <w:rsid w:val="4F4A7D35"/>
    <w:rsid w:val="4F4E005F"/>
    <w:rsid w:val="4F522246"/>
    <w:rsid w:val="4F9111A0"/>
    <w:rsid w:val="4FFA0AF3"/>
    <w:rsid w:val="500109DB"/>
    <w:rsid w:val="50513B5D"/>
    <w:rsid w:val="508A631B"/>
    <w:rsid w:val="509E6F85"/>
    <w:rsid w:val="50B45146"/>
    <w:rsid w:val="50D731F5"/>
    <w:rsid w:val="51047479"/>
    <w:rsid w:val="514E7348"/>
    <w:rsid w:val="519A258E"/>
    <w:rsid w:val="52176C0D"/>
    <w:rsid w:val="52886DC8"/>
    <w:rsid w:val="529A5149"/>
    <w:rsid w:val="531B129F"/>
    <w:rsid w:val="533C1422"/>
    <w:rsid w:val="5349426B"/>
    <w:rsid w:val="5382777D"/>
    <w:rsid w:val="538D1727"/>
    <w:rsid w:val="538E2218"/>
    <w:rsid w:val="53B3641F"/>
    <w:rsid w:val="53C24C56"/>
    <w:rsid w:val="54396FBB"/>
    <w:rsid w:val="54695C17"/>
    <w:rsid w:val="54AA0D3A"/>
    <w:rsid w:val="54B96FDC"/>
    <w:rsid w:val="5522413C"/>
    <w:rsid w:val="554B7D08"/>
    <w:rsid w:val="55890693"/>
    <w:rsid w:val="55BD55D2"/>
    <w:rsid w:val="55F12998"/>
    <w:rsid w:val="55F81F79"/>
    <w:rsid w:val="56394843"/>
    <w:rsid w:val="568D7335"/>
    <w:rsid w:val="574F7976"/>
    <w:rsid w:val="5755260F"/>
    <w:rsid w:val="5797300A"/>
    <w:rsid w:val="57C71C02"/>
    <w:rsid w:val="57DF519E"/>
    <w:rsid w:val="57F8095F"/>
    <w:rsid w:val="58044C05"/>
    <w:rsid w:val="58294F7F"/>
    <w:rsid w:val="58417C07"/>
    <w:rsid w:val="586C6306"/>
    <w:rsid w:val="589D2963"/>
    <w:rsid w:val="58BB7B9D"/>
    <w:rsid w:val="5900361E"/>
    <w:rsid w:val="5927612C"/>
    <w:rsid w:val="59654BF9"/>
    <w:rsid w:val="59826341"/>
    <w:rsid w:val="5A2C091C"/>
    <w:rsid w:val="5A34764A"/>
    <w:rsid w:val="5A9559D9"/>
    <w:rsid w:val="5A9C1A6D"/>
    <w:rsid w:val="5ADF54B5"/>
    <w:rsid w:val="5B2F21B9"/>
    <w:rsid w:val="5B335F2F"/>
    <w:rsid w:val="5B7025B1"/>
    <w:rsid w:val="5B7F07AB"/>
    <w:rsid w:val="5BB74E52"/>
    <w:rsid w:val="5C0950B4"/>
    <w:rsid w:val="5C125416"/>
    <w:rsid w:val="5C2A2760"/>
    <w:rsid w:val="5C3153B7"/>
    <w:rsid w:val="5C4821F4"/>
    <w:rsid w:val="5CA06A44"/>
    <w:rsid w:val="5CBB785C"/>
    <w:rsid w:val="5CD42798"/>
    <w:rsid w:val="5D3A514F"/>
    <w:rsid w:val="5D5A7B3E"/>
    <w:rsid w:val="5D7243BE"/>
    <w:rsid w:val="5D940E92"/>
    <w:rsid w:val="5DAB78D0"/>
    <w:rsid w:val="5DBE7604"/>
    <w:rsid w:val="5DCB787D"/>
    <w:rsid w:val="5E6C07E1"/>
    <w:rsid w:val="5E78528B"/>
    <w:rsid w:val="5E880432"/>
    <w:rsid w:val="5E8D2343"/>
    <w:rsid w:val="5E99597B"/>
    <w:rsid w:val="5EDA1034"/>
    <w:rsid w:val="5EEE3123"/>
    <w:rsid w:val="5EF01A3F"/>
    <w:rsid w:val="5EF66843"/>
    <w:rsid w:val="5EF97313"/>
    <w:rsid w:val="5FAD3EA6"/>
    <w:rsid w:val="60031C46"/>
    <w:rsid w:val="60225F96"/>
    <w:rsid w:val="603B3E30"/>
    <w:rsid w:val="604A13BF"/>
    <w:rsid w:val="60795A64"/>
    <w:rsid w:val="607A190A"/>
    <w:rsid w:val="608F5E9D"/>
    <w:rsid w:val="60BF59C2"/>
    <w:rsid w:val="60C3622F"/>
    <w:rsid w:val="60C846E2"/>
    <w:rsid w:val="60DD562E"/>
    <w:rsid w:val="60F93883"/>
    <w:rsid w:val="61107DEC"/>
    <w:rsid w:val="61131A15"/>
    <w:rsid w:val="61EF4230"/>
    <w:rsid w:val="622F4B85"/>
    <w:rsid w:val="623514F8"/>
    <w:rsid w:val="6269729D"/>
    <w:rsid w:val="62A212A2"/>
    <w:rsid w:val="62B13DF7"/>
    <w:rsid w:val="62B6559F"/>
    <w:rsid w:val="63270DF6"/>
    <w:rsid w:val="63444A8D"/>
    <w:rsid w:val="634E142A"/>
    <w:rsid w:val="6360432F"/>
    <w:rsid w:val="638C7FE1"/>
    <w:rsid w:val="63B3128D"/>
    <w:rsid w:val="6444200F"/>
    <w:rsid w:val="64464CA2"/>
    <w:rsid w:val="647C485B"/>
    <w:rsid w:val="651F1272"/>
    <w:rsid w:val="65A11CE5"/>
    <w:rsid w:val="65D33E68"/>
    <w:rsid w:val="665156DB"/>
    <w:rsid w:val="669E696B"/>
    <w:rsid w:val="66B71094"/>
    <w:rsid w:val="66CB5772"/>
    <w:rsid w:val="66DF7F64"/>
    <w:rsid w:val="67285436"/>
    <w:rsid w:val="678F1105"/>
    <w:rsid w:val="6796514D"/>
    <w:rsid w:val="6821710D"/>
    <w:rsid w:val="6826518F"/>
    <w:rsid w:val="683B72BC"/>
    <w:rsid w:val="685B0AF6"/>
    <w:rsid w:val="68B95D68"/>
    <w:rsid w:val="68CA1262"/>
    <w:rsid w:val="690F11C8"/>
    <w:rsid w:val="69132EFA"/>
    <w:rsid w:val="69232A11"/>
    <w:rsid w:val="692B4C87"/>
    <w:rsid w:val="69372020"/>
    <w:rsid w:val="6946402E"/>
    <w:rsid w:val="695C48C4"/>
    <w:rsid w:val="696077C1"/>
    <w:rsid w:val="69621CB5"/>
    <w:rsid w:val="69886D18"/>
    <w:rsid w:val="69AC733B"/>
    <w:rsid w:val="6A902328"/>
    <w:rsid w:val="6B014FD4"/>
    <w:rsid w:val="6B5C045C"/>
    <w:rsid w:val="6B6317EA"/>
    <w:rsid w:val="6BF87B65"/>
    <w:rsid w:val="6C9C3206"/>
    <w:rsid w:val="6CB559D2"/>
    <w:rsid w:val="6CFA2183"/>
    <w:rsid w:val="6D156B14"/>
    <w:rsid w:val="6D282CEC"/>
    <w:rsid w:val="6D315FEE"/>
    <w:rsid w:val="6DCE56E9"/>
    <w:rsid w:val="6DD15131"/>
    <w:rsid w:val="6DDF3EE6"/>
    <w:rsid w:val="6EAB3BD4"/>
    <w:rsid w:val="6EB63D6A"/>
    <w:rsid w:val="6EE20EBC"/>
    <w:rsid w:val="6F14284D"/>
    <w:rsid w:val="6F3941F6"/>
    <w:rsid w:val="6F547DC8"/>
    <w:rsid w:val="6F6E7694"/>
    <w:rsid w:val="6F996DE9"/>
    <w:rsid w:val="6FF0435D"/>
    <w:rsid w:val="6FFC3047"/>
    <w:rsid w:val="70087DB6"/>
    <w:rsid w:val="700946A2"/>
    <w:rsid w:val="702A149E"/>
    <w:rsid w:val="702E686B"/>
    <w:rsid w:val="707A20B1"/>
    <w:rsid w:val="708C73D6"/>
    <w:rsid w:val="70D94B4C"/>
    <w:rsid w:val="70EE5FFA"/>
    <w:rsid w:val="71730F36"/>
    <w:rsid w:val="71AF5979"/>
    <w:rsid w:val="71B11502"/>
    <w:rsid w:val="71B305BE"/>
    <w:rsid w:val="71B903B6"/>
    <w:rsid w:val="72422A05"/>
    <w:rsid w:val="724F0D1A"/>
    <w:rsid w:val="72E90D7F"/>
    <w:rsid w:val="72F623B5"/>
    <w:rsid w:val="734A7CA3"/>
    <w:rsid w:val="73B35677"/>
    <w:rsid w:val="73E6493D"/>
    <w:rsid w:val="740718AD"/>
    <w:rsid w:val="740D3DE3"/>
    <w:rsid w:val="744901B5"/>
    <w:rsid w:val="74C01A5C"/>
    <w:rsid w:val="74DB0643"/>
    <w:rsid w:val="753D12FE"/>
    <w:rsid w:val="75701BF7"/>
    <w:rsid w:val="75787ED4"/>
    <w:rsid w:val="7597793D"/>
    <w:rsid w:val="75997EBA"/>
    <w:rsid w:val="75A55921"/>
    <w:rsid w:val="75CA0DE4"/>
    <w:rsid w:val="76007DF5"/>
    <w:rsid w:val="76085ADE"/>
    <w:rsid w:val="762E7539"/>
    <w:rsid w:val="7691545E"/>
    <w:rsid w:val="76995148"/>
    <w:rsid w:val="76DB13DC"/>
    <w:rsid w:val="77221CA7"/>
    <w:rsid w:val="772C162A"/>
    <w:rsid w:val="7753605F"/>
    <w:rsid w:val="77C33D3D"/>
    <w:rsid w:val="77F008AA"/>
    <w:rsid w:val="7830411D"/>
    <w:rsid w:val="783E67E5"/>
    <w:rsid w:val="78782D79"/>
    <w:rsid w:val="78AF25A0"/>
    <w:rsid w:val="78B66322"/>
    <w:rsid w:val="78D62ECE"/>
    <w:rsid w:val="78E0091E"/>
    <w:rsid w:val="794C278F"/>
    <w:rsid w:val="799106C2"/>
    <w:rsid w:val="79A57CFD"/>
    <w:rsid w:val="79B078F9"/>
    <w:rsid w:val="79F0269B"/>
    <w:rsid w:val="7A1F11F7"/>
    <w:rsid w:val="7A584081"/>
    <w:rsid w:val="7A805F15"/>
    <w:rsid w:val="7AB35C3F"/>
    <w:rsid w:val="7B0A3FDF"/>
    <w:rsid w:val="7B2170B9"/>
    <w:rsid w:val="7B3C363D"/>
    <w:rsid w:val="7B6273C9"/>
    <w:rsid w:val="7BB11276"/>
    <w:rsid w:val="7BD915BE"/>
    <w:rsid w:val="7C345DD3"/>
    <w:rsid w:val="7C574ECB"/>
    <w:rsid w:val="7C781312"/>
    <w:rsid w:val="7CA552F2"/>
    <w:rsid w:val="7CFC42FA"/>
    <w:rsid w:val="7D4A0A5C"/>
    <w:rsid w:val="7D5B3117"/>
    <w:rsid w:val="7D75011A"/>
    <w:rsid w:val="7D7D498E"/>
    <w:rsid w:val="7D850096"/>
    <w:rsid w:val="7D891758"/>
    <w:rsid w:val="7DF32EA2"/>
    <w:rsid w:val="7DF82266"/>
    <w:rsid w:val="7F587460"/>
    <w:rsid w:val="7F7C1A4A"/>
    <w:rsid w:val="7FE61D33"/>
    <w:rsid w:val="7FE6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Calibri" w:hAnsi="Calibri" w:eastAsia="宋体" w:cs="Times New Roman"/>
      <w:sz w:val="30"/>
    </w:rPr>
  </w:style>
  <w:style w:type="paragraph" w:styleId="3">
    <w:name w:val="annotation text"/>
    <w:basedOn w:val="1"/>
    <w:autoRedefine/>
    <w:qFormat/>
    <w:uiPriority w:val="99"/>
    <w:pPr>
      <w:jc w:val="left"/>
    </w:pPr>
  </w:style>
  <w:style w:type="paragraph" w:styleId="4">
    <w:name w:val="Plain Text"/>
    <w:basedOn w:val="1"/>
    <w:autoRedefine/>
    <w:semiHidden/>
    <w:unhideWhenUsed/>
    <w:qFormat/>
    <w:uiPriority w:val="99"/>
    <w:rPr>
      <w:rFonts w:hint="eastAsia" w:ascii="宋体" w:hAnsi="Courier New"/>
      <w:szCs w:val="20"/>
    </w:rPr>
  </w:style>
  <w:style w:type="paragraph" w:styleId="5">
    <w:name w:val="footer"/>
    <w:basedOn w:val="1"/>
    <w:autoRedefine/>
    <w:qFormat/>
    <w:uiPriority w:val="99"/>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100" w:beforeLines="0" w:beforeAutospacing="1" w:after="100" w:afterLines="0" w:afterAutospacing="1"/>
      <w:ind w:left="0" w:right="0"/>
      <w:jc w:val="left"/>
    </w:pPr>
    <w:rPr>
      <w:kern w:val="0"/>
      <w:sz w:val="24"/>
      <w:lang w:val="en-US" w:eastAsia="zh-CN" w:bidi="ar"/>
    </w:rPr>
  </w:style>
  <w:style w:type="character" w:styleId="10">
    <w:name w:val="Strong"/>
    <w:basedOn w:val="9"/>
    <w:autoRedefine/>
    <w:qFormat/>
    <w:uiPriority w:val="0"/>
    <w:rPr>
      <w:b/>
    </w:rPr>
  </w:style>
  <w:style w:type="character" w:styleId="11">
    <w:name w:val="Hyperlink"/>
    <w:basedOn w:val="9"/>
    <w:autoRedefine/>
    <w:qFormat/>
    <w:uiPriority w:val="0"/>
    <w:rPr>
      <w:color w:val="0000FF"/>
      <w:u w:val="single"/>
    </w:rPr>
  </w:style>
  <w:style w:type="paragraph" w:customStyle="1" w:styleId="12">
    <w:name w:val="封面标准英文名称"/>
    <w:basedOn w:val="13"/>
    <w:autoRedefine/>
    <w:qFormat/>
    <w:uiPriority w:val="0"/>
    <w:pPr>
      <w:spacing w:before="370" w:line="400" w:lineRule="exact"/>
    </w:pPr>
    <w:rPr>
      <w:rFonts w:ascii="Times New Roman"/>
      <w:sz w:val="28"/>
      <w:szCs w:val="28"/>
    </w:rPr>
  </w:style>
  <w:style w:type="paragraph" w:customStyle="1" w:styleId="13">
    <w:name w:val="封面标准名称"/>
    <w:autoRedefine/>
    <w:qFormat/>
    <w:uiPriority w:val="99"/>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4.1"/>
    <w:basedOn w:val="16"/>
    <w:autoRedefine/>
    <w:qFormat/>
    <w:uiPriority w:val="0"/>
    <w:pPr>
      <w:numPr>
        <w:ilvl w:val="0"/>
        <w:numId w:val="0"/>
      </w:numPr>
      <w:tabs>
        <w:tab w:val="left" w:pos="363"/>
      </w:tabs>
      <w:spacing w:before="156" w:after="156"/>
      <w:ind w:firstLine="363"/>
    </w:pPr>
    <w:rPr>
      <w:szCs w:val="21"/>
    </w:rPr>
  </w:style>
  <w:style w:type="paragraph" w:customStyle="1" w:styleId="16">
    <w:name w:val="一级条标题"/>
    <w:next w:val="14"/>
    <w:autoRedefine/>
    <w:qFormat/>
    <w:uiPriority w:val="0"/>
    <w:pPr>
      <w:numPr>
        <w:ilvl w:val="1"/>
        <w:numId w:val="1"/>
      </w:numPr>
      <w:spacing w:beforeLines="50" w:afterLines="50"/>
      <w:outlineLvl w:val="2"/>
    </w:pPr>
    <w:rPr>
      <w:rFonts w:ascii="黑体" w:hAnsi="Times New Roman" w:eastAsia="黑体" w:cs="Times New Roman"/>
      <w:sz w:val="21"/>
      <w:szCs w:val="22"/>
      <w:lang w:val="en-US" w:eastAsia="zh-CN" w:bidi="ar-SA"/>
    </w:rPr>
  </w:style>
  <w:style w:type="paragraph" w:customStyle="1" w:styleId="17">
    <w:name w:val="Heading4"/>
    <w:basedOn w:val="1"/>
    <w:next w:val="1"/>
    <w:autoRedefine/>
    <w:qFormat/>
    <w:uiPriority w:val="99"/>
    <w:pPr>
      <w:spacing w:line="400" w:lineRule="exact"/>
    </w:pPr>
    <w:rPr>
      <w:szCs w:val="28"/>
    </w:rPr>
  </w:style>
  <w:style w:type="paragraph" w:customStyle="1" w:styleId="18">
    <w:name w:val="Normal Indent"/>
    <w:basedOn w:val="1"/>
    <w:autoRedefine/>
    <w:qFormat/>
    <w:uiPriority w:val="0"/>
    <w:pPr>
      <w:ind w:firstLine="420"/>
    </w:pPr>
  </w:style>
  <w:style w:type="paragraph" w:customStyle="1" w:styleId="19">
    <w:name w:val="章标题"/>
    <w:next w:val="14"/>
    <w:autoRedefine/>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5.xml"/><Relationship Id="rId1" Type="http://schemas.openxmlformats.org/officeDocument/2006/relationships/oleObject" Target="file:///C:\Users\gpccc\Desktop\&#26631;&#20934;&#32534;&#21046;\0-&#21021;&#31295;\0622%20&#32858;&#33519;&#20057;&#28911;&#21508;&#20225;&#19994;&#35013;&#32622;&#33021;&#32791;&#35745;&#31639;&#34920;.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8.xml"/><Relationship Id="rId3" Type="http://schemas.microsoft.com/office/2011/relationships/chartStyle" Target="style8.xml"/><Relationship Id="rId2" Type="http://schemas.openxmlformats.org/officeDocument/2006/relationships/themeOverride" Target="../theme/themeOverride8.xml"/><Relationship Id="rId1" Type="http://schemas.openxmlformats.org/officeDocument/2006/relationships/oleObject" Target="file:///C:\Users\gpccc\Desktop\&#26631;&#20934;&#32534;&#21046;\0-&#21021;&#31295;\0622%20&#32858;&#33519;&#20057;&#28911;&#21508;&#20225;&#19994;&#35013;&#32622;&#33021;&#32791;&#35745;&#31639;&#34920;.xlsx" TargetMode="External"/></Relationships>
</file>

<file path=word/charts/_rels/chart3.xml.rels><?xml version="1.0" encoding="UTF-8" standalone="yes"?>
<Relationships xmlns="http://schemas.openxmlformats.org/package/2006/relationships"><Relationship Id="rId4" Type="http://schemas.microsoft.com/office/2011/relationships/chartColorStyle" Target="colors7.xml"/><Relationship Id="rId3" Type="http://schemas.microsoft.com/office/2011/relationships/chartStyle" Target="style7.xml"/><Relationship Id="rId2" Type="http://schemas.openxmlformats.org/officeDocument/2006/relationships/themeOverride" Target="../theme/themeOverride7.xml"/><Relationship Id="rId1" Type="http://schemas.openxmlformats.org/officeDocument/2006/relationships/oleObject" Target="file:///C:\Users\gpccc\Desktop\&#26631;&#20934;&#32534;&#21046;\0-&#21021;&#31295;\0622%20&#32858;&#33519;&#20057;&#28911;&#21508;&#20225;&#19994;&#35013;&#32622;&#33021;&#32791;&#35745;&#31639;&#34920;.xlsx" TargetMode="External"/></Relationships>
</file>

<file path=word/charts/_rels/chart4.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6.xml"/><Relationship Id="rId1" Type="http://schemas.openxmlformats.org/officeDocument/2006/relationships/oleObject" Target="file:///C:\Users\gpccc\Desktop\&#26631;&#20934;&#32534;&#21046;\0-&#21021;&#31295;\0622%20&#32858;&#33519;&#20057;&#28911;&#21508;&#20225;&#19994;&#35013;&#32622;&#33021;&#32791;&#35745;&#31639;&#34920;.xlsx" TargetMode="External"/></Relationships>
</file>

<file path=word/charts/_rels/chart5.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oleObject" Target="file:///C:\Users\gpccc\Desktop\&#26631;&#20934;&#32534;&#21046;\0-&#21021;&#31295;\0622%20&#32858;&#33519;&#20057;&#28911;&#21508;&#20225;&#19994;&#35013;&#32622;&#33021;&#32791;&#35745;&#31639;&#34920;.xlsx" TargetMode="External"/></Relationships>
</file>

<file path=word/charts/_rels/chart6.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oleObject" Target="file:///C:\Users\gpccc\Desktop\&#26631;&#20934;&#32534;&#21046;\0-&#21021;&#31295;\0622%20&#32858;&#33519;&#20057;&#28911;&#21508;&#20225;&#19994;&#35013;&#32622;&#33021;&#32791;&#35745;&#31639;&#34920;.xlsx" TargetMode="External"/></Relationships>
</file>

<file path=word/charts/_rels/chart7.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oleObject" Target="file:///C:\Users\gpccc\Desktop\&#26631;&#20934;&#32534;&#21046;\0-&#21021;&#31295;\0622%20&#32858;&#33519;&#20057;&#28911;&#21508;&#20225;&#19994;&#35013;&#32622;&#33021;&#32791;&#35745;&#31639;&#34920;.xlsx" TargetMode="External"/></Relationships>
</file>

<file path=word/charts/_rels/chart8.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C:\Users\gpccc\Desktop\&#26631;&#20934;&#32534;&#21046;\0-&#21021;&#31295;\0622%20&#32858;&#33519;&#20057;&#28911;&#21508;&#20225;&#19994;&#35013;&#32622;&#33021;&#32791;&#35745;&#31639;&#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9397880539499"/>
          <c:y val="0.0858287365379564"/>
          <c:w val="0.834224470134875"/>
          <c:h val="0.817034410296822"/>
        </c:manualLayout>
      </c:layout>
      <c:scatterChart>
        <c:scatterStyle val="marker"/>
        <c:varyColors val="0"/>
        <c:ser>
          <c:idx val="0"/>
          <c:order val="0"/>
          <c:spPr>
            <a:ln w="19050" cap="rnd">
              <a:noFill/>
              <a:round/>
            </a:ln>
            <a:effectLst/>
          </c:spPr>
          <c:marker>
            <c:symbol val="circle"/>
            <c:size val="11"/>
            <c:spPr>
              <a:solidFill>
                <a:schemeClr val="accent1"/>
              </a:solidFill>
              <a:ln w="19050">
                <a:solidFill>
                  <a:schemeClr val="tx1">
                    <a:lumMod val="85000"/>
                    <a:lumOff val="15000"/>
                  </a:schemeClr>
                </a:solidFill>
              </a:ln>
              <a:effectLst/>
            </c:spPr>
          </c:marker>
          <c:dLbls>
            <c:dLbl>
              <c:idx val="1"/>
              <c:layout>
                <c:manualLayout>
                  <c:x val="-0.0411522633744856"/>
                  <c:y val="-0.00776960530405055"/>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0.0452674897119342"/>
                  <c:y val="0.027970579094582"/>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205761316872428"/>
                  <c:y val="0.00155392106081011"/>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0480109739368999"/>
                  <c:y val="0.013985289547291"/>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076478091771926"/>
                  <c:y val="-0.00155774728837957"/>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0.0164980732177264"/>
                  <c:y val="-0.00328342526924087"/>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12"/>
              <c:layout>
                <c:manualLayout>
                  <c:x val="0.0226396917148362"/>
                  <c:y val="0.00157604412923562"/>
                </c:manualLayout>
              </c:layout>
              <c:dLblPos val="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yVal>
            <c:numRef>
              <c:f>'[0622 聚苯乙烯各企业装置能耗计算表.xlsx]PS汇总'!$G$3:$G$19</c:f>
              <c:numCache>
                <c:formatCode>General</c:formatCode>
                <c:ptCount val="17"/>
                <c:pt idx="0">
                  <c:v>34.15</c:v>
                </c:pt>
                <c:pt idx="1">
                  <c:v>42.53</c:v>
                </c:pt>
                <c:pt idx="2" c:formatCode="0.00_ ">
                  <c:v>42.46</c:v>
                </c:pt>
                <c:pt idx="3">
                  <c:v>44.57</c:v>
                </c:pt>
                <c:pt idx="4">
                  <c:v>24.32</c:v>
                </c:pt>
                <c:pt idx="5">
                  <c:v>22.32</c:v>
                </c:pt>
                <c:pt idx="6">
                  <c:v>23.61</c:v>
                </c:pt>
                <c:pt idx="7">
                  <c:v>22.53</c:v>
                </c:pt>
                <c:pt idx="8">
                  <c:v>21.58</c:v>
                </c:pt>
                <c:pt idx="9">
                  <c:v>28.93</c:v>
                </c:pt>
                <c:pt idx="10">
                  <c:v>29.05</c:v>
                </c:pt>
                <c:pt idx="11">
                  <c:v>29.61</c:v>
                </c:pt>
                <c:pt idx="12">
                  <c:v>28.97</c:v>
                </c:pt>
                <c:pt idx="13">
                  <c:v>37.86</c:v>
                </c:pt>
                <c:pt idx="14" c:formatCode="0.00_ ">
                  <c:v>27.8</c:v>
                </c:pt>
                <c:pt idx="15" c:formatCode="0.00_ ">
                  <c:v>38</c:v>
                </c:pt>
                <c:pt idx="16">
                  <c:v>31.34</c:v>
                </c:pt>
              </c:numCache>
            </c:numRef>
          </c:yVal>
          <c:smooth val="0"/>
        </c:ser>
        <c:dLbls>
          <c:showLegendKey val="0"/>
          <c:showVal val="0"/>
          <c:showCatName val="0"/>
          <c:showSerName val="0"/>
          <c:showPercent val="0"/>
          <c:showBubbleSize val="0"/>
        </c:dLbls>
        <c:axId val="704456431"/>
        <c:axId val="189237407"/>
      </c:scatterChart>
      <c:valAx>
        <c:axId val="704456431"/>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189237407"/>
        <c:crosses val="autoZero"/>
        <c:crossBetween val="midCat"/>
      </c:valAx>
      <c:valAx>
        <c:axId val="189237407"/>
        <c:scaling>
          <c:orientation val="minMax"/>
          <c:min val="15"/>
        </c:scaling>
        <c:delete val="0"/>
        <c:axPos val="l"/>
        <c:majorGridlines>
          <c:spPr>
            <a:ln w="9525" cap="flat" cmpd="sng" algn="ctr">
              <a:solidFill>
                <a:schemeClr val="tx1">
                  <a:lumMod val="50000"/>
                  <a:lumOff val="50000"/>
                  <a:alpha val="25000"/>
                </a:schemeClr>
              </a:solidFill>
              <a:prstDash val="dash"/>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704456431"/>
        <c:crosses val="autoZero"/>
        <c:crossBetween val="midCat"/>
      </c:valAx>
      <c:spPr>
        <a:noFill/>
        <a:ln>
          <a:noFill/>
        </a:ln>
        <a:effectLst/>
      </c:spPr>
    </c:plotArea>
    <c:plotVisOnly val="1"/>
    <c:dispBlanksAs val="gap"/>
    <c:showDLblsOverMax val="0"/>
    <c:extLst>
      <c:ext uri="{0b15fc19-7d7d-44ad-8c2d-2c3a37ce22c3}">
        <chartProps xmlns="https://web.wps.cn/et/2018/main" chartId="{d05dfc69-4d2c-45de-9b5b-ed55e497ed96}"/>
      </c:ext>
    </c:extLst>
  </c:chart>
  <c:spPr>
    <a:solidFill>
      <a:schemeClr val="bg1"/>
    </a:solidFill>
    <a:ln w="9525"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9416419386746"/>
          <c:y val="0.0411985018726592"/>
          <c:w val="0.833382789317507"/>
          <c:h val="0.836966292134831"/>
        </c:manualLayout>
      </c:layout>
      <c:scatterChart>
        <c:scatterStyle val="marker"/>
        <c:varyColors val="0"/>
        <c:ser>
          <c:idx val="0"/>
          <c:order val="0"/>
          <c:spPr>
            <a:ln w="19050" cap="rnd">
              <a:noFill/>
              <a:round/>
            </a:ln>
            <a:effectLst/>
          </c:spPr>
          <c:marker>
            <c:symbol val="circle"/>
            <c:size val="11"/>
            <c:spPr>
              <a:solidFill>
                <a:schemeClr val="accent1"/>
              </a:solidFill>
              <a:ln w="19050">
                <a:solidFill>
                  <a:schemeClr val="tx1">
                    <a:lumMod val="85000"/>
                    <a:lumOff val="15000"/>
                  </a:schemeClr>
                </a:solidFill>
              </a:ln>
              <a:effectLst/>
            </c:spPr>
          </c:marker>
          <c:dLbls>
            <c:dLbl>
              <c:idx val="6"/>
              <c:layout>
                <c:manualLayout>
                  <c:x val="0.0216369930761622"/>
                  <c:y val="-0.0234082397003745"/>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818496538081108"/>
                  <c:y val="0.0280898876404494"/>
                </c:manualLayout>
              </c:layout>
              <c:dLblPos val="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yVal>
            <c:numRef>
              <c:f>'[0622 聚苯乙烯各企业装置能耗计算表.xlsx]EPS汇总'!$G$5:$G$18</c:f>
              <c:numCache>
                <c:formatCode>General</c:formatCode>
                <c:ptCount val="14"/>
                <c:pt idx="0">
                  <c:v>21.11</c:v>
                </c:pt>
                <c:pt idx="1">
                  <c:v>22.15</c:v>
                </c:pt>
                <c:pt idx="2">
                  <c:v>21.46</c:v>
                </c:pt>
                <c:pt idx="3">
                  <c:v>23.4</c:v>
                </c:pt>
                <c:pt idx="4">
                  <c:v>23.8</c:v>
                </c:pt>
                <c:pt idx="5" c:formatCode="0.00_ ">
                  <c:v>23</c:v>
                </c:pt>
                <c:pt idx="6" c:formatCode="0.00_ ">
                  <c:v>23.23</c:v>
                </c:pt>
                <c:pt idx="7" c:formatCode="0.00_ ">
                  <c:v>23.7</c:v>
                </c:pt>
                <c:pt idx="8">
                  <c:v>26.07</c:v>
                </c:pt>
                <c:pt idx="9" c:formatCode="0.00_);[Red]\(0.00\)">
                  <c:v>28.1308383090222</c:v>
                </c:pt>
                <c:pt idx="10" c:formatCode="0.00_);[Red]\(0.00\)">
                  <c:v>29.2433951528818</c:v>
                </c:pt>
                <c:pt idx="11" c:formatCode="0.00_);[Red]\(0.00\)">
                  <c:v>30.9763510511491</c:v>
                </c:pt>
                <c:pt idx="12" c:formatCode="0.00_);[Red]\(0.00\)">
                  <c:v>31.6354493697106</c:v>
                </c:pt>
                <c:pt idx="13" c:formatCode="0.00_);[Red]\(0.00\)">
                  <c:v>30.7490210989442</c:v>
                </c:pt>
              </c:numCache>
            </c:numRef>
          </c:yVal>
          <c:smooth val="0"/>
        </c:ser>
        <c:dLbls>
          <c:showLegendKey val="0"/>
          <c:showVal val="0"/>
          <c:showCatName val="0"/>
          <c:showSerName val="0"/>
          <c:showPercent val="0"/>
          <c:showBubbleSize val="0"/>
        </c:dLbls>
        <c:axId val="363742921"/>
        <c:axId val="101077367"/>
      </c:scatterChart>
      <c:valAx>
        <c:axId val="363742921"/>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101077367"/>
        <c:crosses val="autoZero"/>
        <c:crossBetween val="midCat"/>
      </c:valAx>
      <c:valAx>
        <c:axId val="101077367"/>
        <c:scaling>
          <c:orientation val="minMax"/>
          <c:min val="15"/>
        </c:scaling>
        <c:delete val="0"/>
        <c:axPos val="l"/>
        <c:majorGridlines>
          <c:spPr>
            <a:ln w="9525" cap="flat" cmpd="sng" algn="ctr">
              <a:solidFill>
                <a:schemeClr val="tx1">
                  <a:lumMod val="50000"/>
                  <a:lumOff val="50000"/>
                  <a:alpha val="25000"/>
                </a:schemeClr>
              </a:solidFill>
              <a:prstDash val="dash"/>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363742921"/>
        <c:crosses val="autoZero"/>
        <c:crossBetween val="midCat"/>
      </c:valAx>
      <c:spPr>
        <a:noFill/>
        <a:ln>
          <a:noFill/>
        </a:ln>
        <a:effectLst/>
      </c:spPr>
    </c:plotArea>
    <c:plotVisOnly val="1"/>
    <c:dispBlanksAs val="gap"/>
    <c:showDLblsOverMax val="0"/>
    <c:extLst>
      <c:ext uri="{0b15fc19-7d7d-44ad-8c2d-2c3a37ce22c3}">
        <chartProps xmlns="https://web.wps.cn/et/2018/main" chartId="{d6660160-ca35-4066-af75-aee9cab1eb12}"/>
      </c:ext>
    </c:extLst>
  </c:chart>
  <c:spPr>
    <a:solidFill>
      <a:schemeClr val="bg1"/>
    </a:solidFill>
    <a:ln w="9525"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9784415271589"/>
          <c:y val="0.0591358476748444"/>
          <c:w val="0.843719137661086"/>
          <c:h val="0.849945075064079"/>
        </c:manualLayout>
      </c:layout>
      <c:scatterChart>
        <c:scatterStyle val="marker"/>
        <c:varyColors val="0"/>
        <c:ser>
          <c:idx val="0"/>
          <c:order val="0"/>
          <c:spPr>
            <a:ln w="19050" cap="rnd">
              <a:noFill/>
              <a:round/>
            </a:ln>
            <a:effectLst/>
          </c:spPr>
          <c:marker>
            <c:symbol val="circle"/>
            <c:size val="11"/>
            <c:spPr>
              <a:solidFill>
                <a:schemeClr val="accent1"/>
              </a:solidFill>
              <a:ln w="19050">
                <a:solidFill>
                  <a:schemeClr val="tx1">
                    <a:lumMod val="85000"/>
                    <a:lumOff val="15000"/>
                  </a:schemeClr>
                </a:solidFill>
              </a:ln>
              <a:effectLst/>
            </c:spPr>
          </c:marker>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yVal>
            <c:numRef>
              <c:f>'[0622 聚苯乙烯各企业装置能耗计算表.xlsx]PS汇总'!$L$3:$L$19</c:f>
              <c:numCache>
                <c:formatCode>0.00_);[Red]\(0.00\)</c:formatCode>
                <c:ptCount val="17"/>
                <c:pt idx="0">
                  <c:v>40.6623523264205</c:v>
                </c:pt>
                <c:pt idx="4">
                  <c:v>23.4001978182941</c:v>
                </c:pt>
                <c:pt idx="7">
                  <c:v>22.0079418894906</c:v>
                </c:pt>
                <c:pt idx="9">
                  <c:v>29.1485295415649</c:v>
                </c:pt>
                <c:pt idx="13" c:formatCode="General">
                  <c:v>37.86</c:v>
                </c:pt>
                <c:pt idx="14" c:formatCode="0.00_ ">
                  <c:v>27.8</c:v>
                </c:pt>
                <c:pt idx="15" c:formatCode="0.00_ ">
                  <c:v>38</c:v>
                </c:pt>
                <c:pt idx="16" c:formatCode="General">
                  <c:v>31.34</c:v>
                </c:pt>
              </c:numCache>
            </c:numRef>
          </c:yVal>
          <c:smooth val="0"/>
        </c:ser>
        <c:dLbls>
          <c:showLegendKey val="0"/>
          <c:showVal val="0"/>
          <c:showCatName val="0"/>
          <c:showSerName val="0"/>
          <c:showPercent val="0"/>
          <c:showBubbleSize val="0"/>
        </c:dLbls>
        <c:axId val="645026720"/>
        <c:axId val="350986119"/>
      </c:scatterChart>
      <c:valAx>
        <c:axId val="645026720"/>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350986119"/>
        <c:crosses val="autoZero"/>
        <c:crossBetween val="midCat"/>
      </c:valAx>
      <c:valAx>
        <c:axId val="350986119"/>
        <c:scaling>
          <c:orientation val="minMax"/>
        </c:scaling>
        <c:delete val="0"/>
        <c:axPos val="l"/>
        <c:majorGridlines>
          <c:spPr>
            <a:ln w="9525" cap="flat" cmpd="sng" algn="ctr">
              <a:solidFill>
                <a:schemeClr val="tx1">
                  <a:lumMod val="50000"/>
                  <a:lumOff val="50000"/>
                  <a:alpha val="25000"/>
                </a:schemeClr>
              </a:solidFill>
              <a:prstDash val="dash"/>
              <a:round/>
            </a:ln>
            <a:effectLst/>
          </c:spPr>
        </c:majorGridlines>
        <c:numFmt formatCode="General" sourceLinked="0"/>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645026720"/>
        <c:crosses val="autoZero"/>
        <c:crossBetween val="midCat"/>
      </c:valAx>
      <c:spPr>
        <a:noFill/>
        <a:ln>
          <a:noFill/>
        </a:ln>
        <a:effectLst/>
      </c:spPr>
    </c:plotArea>
    <c:plotVisOnly val="1"/>
    <c:dispBlanksAs val="gap"/>
    <c:showDLblsOverMax val="0"/>
    <c:extLst>
      <c:ext uri="{0b15fc19-7d7d-44ad-8c2d-2c3a37ce22c3}">
        <chartProps xmlns="https://web.wps.cn/et/2018/main" chartId="{382e5a5e-6304-40f8-8695-8d344a63e629}"/>
      </c:ext>
    </c:extLst>
  </c:chart>
  <c:spPr>
    <a:solidFill>
      <a:schemeClr val="bg1"/>
    </a:solidFill>
    <a:ln w="9525"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1221374045802"/>
          <c:y val="0.0624691358024691"/>
          <c:w val="0.820788804071247"/>
          <c:h val="0.814913580246914"/>
        </c:manualLayout>
      </c:layout>
      <c:scatterChart>
        <c:scatterStyle val="marker"/>
        <c:varyColors val="0"/>
        <c:ser>
          <c:idx val="0"/>
          <c:order val="0"/>
          <c:spPr>
            <a:ln w="19050" cap="rnd">
              <a:noFill/>
              <a:round/>
            </a:ln>
            <a:effectLst/>
          </c:spPr>
          <c:marker>
            <c:symbol val="circle"/>
            <c:size val="11"/>
            <c:spPr>
              <a:solidFill>
                <a:schemeClr val="accent1"/>
              </a:solidFill>
              <a:ln w="19050">
                <a:solidFill>
                  <a:schemeClr val="tx1">
                    <a:lumMod val="85000"/>
                    <a:lumOff val="15000"/>
                  </a:schemeClr>
                </a:solidFill>
              </a:ln>
              <a:effectLst/>
            </c:spPr>
          </c:marker>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yVal>
            <c:numRef>
              <c:f>'[0622 聚苯乙烯各企业装置能耗计算表.xlsx]EPS汇总'!$K$5:$K$15</c:f>
              <c:numCache>
                <c:formatCode>0.00_);[Red]\(0.00\)</c:formatCode>
                <c:ptCount val="11"/>
                <c:pt idx="0">
                  <c:v>21.5733333333333</c:v>
                </c:pt>
                <c:pt idx="3" c:formatCode="0.00_ ">
                  <c:v>23.426</c:v>
                </c:pt>
                <c:pt idx="8" c:formatCode="General">
                  <c:v>26.07</c:v>
                </c:pt>
                <c:pt idx="10">
                  <c:v>28.8571774602552</c:v>
                </c:pt>
              </c:numCache>
            </c:numRef>
          </c:yVal>
          <c:smooth val="0"/>
        </c:ser>
        <c:dLbls>
          <c:showLegendKey val="0"/>
          <c:showVal val="0"/>
          <c:showCatName val="0"/>
          <c:showSerName val="0"/>
          <c:showPercent val="0"/>
          <c:showBubbleSize val="0"/>
        </c:dLbls>
        <c:axId val="690412937"/>
        <c:axId val="790991272"/>
      </c:scatterChart>
      <c:valAx>
        <c:axId val="690412937"/>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790991272"/>
        <c:crosses val="autoZero"/>
        <c:crossBetween val="midCat"/>
      </c:valAx>
      <c:valAx>
        <c:axId val="790991272"/>
        <c:scaling>
          <c:orientation val="minMax"/>
        </c:scaling>
        <c:delete val="0"/>
        <c:axPos val="l"/>
        <c:majorGridlines>
          <c:spPr>
            <a:ln w="9525" cap="flat" cmpd="sng" algn="ctr">
              <a:solidFill>
                <a:schemeClr val="tx1">
                  <a:lumMod val="50000"/>
                  <a:lumOff val="50000"/>
                  <a:alpha val="25000"/>
                </a:schemeClr>
              </a:solidFill>
              <a:prstDash val="dash"/>
              <a:round/>
            </a:ln>
            <a:effectLst/>
          </c:spPr>
        </c:majorGridlines>
        <c:numFmt formatCode="General" sourceLinked="0"/>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690412937"/>
        <c:crosses val="autoZero"/>
        <c:crossBetween val="midCat"/>
      </c:valAx>
      <c:spPr>
        <a:noFill/>
        <a:ln>
          <a:noFill/>
        </a:ln>
        <a:effectLst/>
      </c:spPr>
    </c:plotArea>
    <c:plotVisOnly val="1"/>
    <c:dispBlanksAs val="gap"/>
    <c:showDLblsOverMax val="0"/>
    <c:extLst>
      <c:ext uri="{0b15fc19-7d7d-44ad-8c2d-2c3a37ce22c3}">
        <chartProps xmlns="https://web.wps.cn/et/2018/main" chartId="{ca563fa4-c5a1-4467-b85e-43871aa1de3d}"/>
      </c:ext>
    </c:extLst>
  </c:chart>
  <c:spPr>
    <a:solidFill>
      <a:schemeClr val="bg1"/>
    </a:solidFill>
    <a:ln w="9525"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3186363088784"/>
          <c:y val="0.070976067573909"/>
          <c:w val="0.820310805926997"/>
          <c:h val="0.812740497419052"/>
        </c:manualLayout>
      </c:layout>
      <c:scatterChart>
        <c:scatterStyle val="marker"/>
        <c:varyColors val="0"/>
        <c:ser>
          <c:idx val="0"/>
          <c:order val="0"/>
          <c:spPr>
            <a:ln w="19050" cap="rnd">
              <a:noFill/>
              <a:round/>
            </a:ln>
            <a:effectLst/>
          </c:spPr>
          <c:marker>
            <c:symbol val="circle"/>
            <c:size val="11"/>
            <c:spPr>
              <a:solidFill>
                <a:schemeClr val="accent1"/>
              </a:solidFill>
              <a:ln w="19050">
                <a:solidFill>
                  <a:schemeClr val="tx1">
                    <a:lumMod val="85000"/>
                    <a:lumOff val="15000"/>
                  </a:schemeClr>
                </a:solidFill>
              </a:ln>
              <a:effectLst/>
            </c:spPr>
          </c:marker>
          <c:dLbls>
            <c:dLbl>
              <c:idx val="0"/>
              <c:layout>
                <c:manualLayout>
                  <c:x val="-0.0104806649801229"/>
                  <c:y val="0"/>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813155041561258"/>
                  <c:y val="0.0448515476942514"/>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0662570774605469"/>
                  <c:y val="0.00779111391871973"/>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180701120346946"/>
                  <c:y val="-0.0553800800168457"/>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034574147693049"/>
                  <c:y val="-0.00526426616129712"/>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0.0180701120346946"/>
                  <c:y val="0.17098336491893"/>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0511986507649681"/>
                  <c:y val="0.0132659507264687"/>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12"/>
              <c:layout>
                <c:manualLayout>
                  <c:x val="0.0150584266955788"/>
                  <c:y val="0.123604969467256"/>
                </c:manualLayout>
              </c:layout>
              <c:dLblPos val="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yVal>
            <c:numRef>
              <c:f>'[0622 聚苯乙烯各企业装置能耗计算表.xlsx]PS汇总'!$H$3:$H$19</c:f>
              <c:numCache>
                <c:formatCode>General</c:formatCode>
                <c:ptCount val="17"/>
                <c:pt idx="0">
                  <c:v>93.28</c:v>
                </c:pt>
                <c:pt idx="1">
                  <c:v>98.6</c:v>
                </c:pt>
                <c:pt idx="2">
                  <c:v>102.53</c:v>
                </c:pt>
                <c:pt idx="3">
                  <c:v>110.57</c:v>
                </c:pt>
                <c:pt idx="4">
                  <c:v>62.42</c:v>
                </c:pt>
                <c:pt idx="5">
                  <c:v>57.98</c:v>
                </c:pt>
                <c:pt idx="6">
                  <c:v>60.03</c:v>
                </c:pt>
                <c:pt idx="7">
                  <c:v>58.74</c:v>
                </c:pt>
                <c:pt idx="8">
                  <c:v>55.73</c:v>
                </c:pt>
                <c:pt idx="9">
                  <c:v>79.56</c:v>
                </c:pt>
                <c:pt idx="10">
                  <c:v>78.79</c:v>
                </c:pt>
                <c:pt idx="11">
                  <c:v>75.34</c:v>
                </c:pt>
                <c:pt idx="12">
                  <c:v>74.74</c:v>
                </c:pt>
                <c:pt idx="13">
                  <c:v>82.32</c:v>
                </c:pt>
                <c:pt idx="14" c:formatCode="0.00_ ">
                  <c:v>66.1</c:v>
                </c:pt>
                <c:pt idx="15">
                  <c:v>106.03</c:v>
                </c:pt>
                <c:pt idx="16">
                  <c:v>97.89</c:v>
                </c:pt>
              </c:numCache>
            </c:numRef>
          </c:yVal>
          <c:smooth val="0"/>
        </c:ser>
        <c:dLbls>
          <c:showLegendKey val="0"/>
          <c:showVal val="0"/>
          <c:showCatName val="0"/>
          <c:showSerName val="0"/>
          <c:showPercent val="0"/>
          <c:showBubbleSize val="0"/>
        </c:dLbls>
        <c:axId val="568216944"/>
        <c:axId val="234357223"/>
      </c:scatterChart>
      <c:valAx>
        <c:axId val="568216944"/>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234357223"/>
        <c:crosses val="autoZero"/>
        <c:crossBetween val="midCat"/>
      </c:valAx>
      <c:valAx>
        <c:axId val="234357223"/>
        <c:scaling>
          <c:orientation val="minMax"/>
          <c:min val="20"/>
        </c:scaling>
        <c:delete val="0"/>
        <c:axPos val="l"/>
        <c:majorGridlines>
          <c:spPr>
            <a:ln w="9525" cap="flat" cmpd="sng" algn="ctr">
              <a:solidFill>
                <a:schemeClr val="tx1">
                  <a:lumMod val="50000"/>
                  <a:lumOff val="50000"/>
                  <a:alpha val="25000"/>
                </a:schemeClr>
              </a:solidFill>
              <a:prstDash val="dash"/>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568216944"/>
        <c:crosses val="autoZero"/>
        <c:crossBetween val="midCat"/>
      </c:valAx>
      <c:spPr>
        <a:noFill/>
        <a:ln>
          <a:noFill/>
        </a:ln>
        <a:effectLst/>
      </c:spPr>
    </c:plotArea>
    <c:plotVisOnly val="1"/>
    <c:dispBlanksAs val="gap"/>
    <c:showDLblsOverMax val="0"/>
    <c:extLst>
      <c:ext uri="{0b15fc19-7d7d-44ad-8c2d-2c3a37ce22c3}">
        <chartProps xmlns="https://web.wps.cn/et/2018/main" chartId="{9f6b5c3d-a80a-40eb-9206-0ecee41b7129}"/>
      </c:ext>
    </c:extLst>
  </c:chart>
  <c:spPr>
    <a:solidFill>
      <a:schemeClr val="bg1"/>
    </a:solidFill>
    <a:ln w="9525"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7923612022575"/>
          <c:y val="0.166993464052288"/>
          <c:w val="0.791101194382465"/>
          <c:h val="0.724814814814815"/>
        </c:manualLayout>
      </c:layout>
      <c:scatterChart>
        <c:scatterStyle val="marker"/>
        <c:varyColors val="0"/>
        <c:ser>
          <c:idx val="0"/>
          <c:order val="0"/>
          <c:spPr>
            <a:ln w="19050" cap="rnd">
              <a:noFill/>
              <a:round/>
            </a:ln>
            <a:effectLst/>
          </c:spPr>
          <c:marker>
            <c:symbol val="circle"/>
            <c:size val="11"/>
            <c:spPr>
              <a:solidFill>
                <a:schemeClr val="accent1"/>
              </a:solidFill>
              <a:ln w="19050">
                <a:solidFill>
                  <a:schemeClr val="tx1">
                    <a:lumMod val="85000"/>
                    <a:lumOff val="15000"/>
                  </a:schemeClr>
                </a:solidFill>
              </a:ln>
              <a:effectLst/>
            </c:spPr>
          </c:marker>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yVal>
            <c:numRef>
              <c:f>'[0622 聚苯乙烯各企业装置能耗计算表.xlsx]EPS汇总'!$H$5:$H$13</c:f>
              <c:numCache>
                <c:formatCode>General</c:formatCode>
                <c:ptCount val="9"/>
                <c:pt idx="0">
                  <c:v>69.75</c:v>
                </c:pt>
                <c:pt idx="1">
                  <c:v>72.82</c:v>
                </c:pt>
                <c:pt idx="2">
                  <c:v>70.89</c:v>
                </c:pt>
                <c:pt idx="3">
                  <c:v>77.64</c:v>
                </c:pt>
                <c:pt idx="4">
                  <c:v>79.03</c:v>
                </c:pt>
                <c:pt idx="5">
                  <c:v>76.37</c:v>
                </c:pt>
                <c:pt idx="6">
                  <c:v>76.49</c:v>
                </c:pt>
                <c:pt idx="7">
                  <c:v>78.03</c:v>
                </c:pt>
                <c:pt idx="8">
                  <c:v>82.43</c:v>
                </c:pt>
              </c:numCache>
            </c:numRef>
          </c:yVal>
          <c:smooth val="0"/>
        </c:ser>
        <c:dLbls>
          <c:showLegendKey val="0"/>
          <c:showVal val="0"/>
          <c:showCatName val="0"/>
          <c:showSerName val="0"/>
          <c:showPercent val="0"/>
          <c:showBubbleSize val="0"/>
        </c:dLbls>
        <c:axId val="187101118"/>
        <c:axId val="81583526"/>
      </c:scatterChart>
      <c:valAx>
        <c:axId val="187101118"/>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81583526"/>
        <c:crosses val="autoZero"/>
        <c:crossBetween val="midCat"/>
      </c:valAx>
      <c:valAx>
        <c:axId val="81583526"/>
        <c:scaling>
          <c:orientation val="minMax"/>
          <c:min val="60"/>
        </c:scaling>
        <c:delete val="0"/>
        <c:axPos val="l"/>
        <c:majorGridlines>
          <c:spPr>
            <a:ln w="9525" cap="flat" cmpd="sng" algn="ctr">
              <a:solidFill>
                <a:schemeClr val="tx1">
                  <a:lumMod val="50000"/>
                  <a:lumOff val="50000"/>
                  <a:alpha val="25000"/>
                </a:schemeClr>
              </a:solidFill>
              <a:prstDash val="dash"/>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187101118"/>
        <c:crosses val="autoZero"/>
        <c:crossBetween val="midCat"/>
      </c:valAx>
      <c:spPr>
        <a:noFill/>
        <a:ln>
          <a:noFill/>
        </a:ln>
        <a:effectLst/>
      </c:spPr>
    </c:plotArea>
    <c:plotVisOnly val="1"/>
    <c:dispBlanksAs val="gap"/>
    <c:showDLblsOverMax val="0"/>
    <c:extLst>
      <c:ext uri="{0b15fc19-7d7d-44ad-8c2d-2c3a37ce22c3}">
        <chartProps xmlns="https://web.wps.cn/et/2018/main" chartId="{183a3bc9-52bb-4573-bf68-4716b73cebce}"/>
      </c:ext>
    </c:extLst>
  </c:chart>
  <c:spPr>
    <a:solidFill>
      <a:schemeClr val="bg1"/>
    </a:solidFill>
    <a:ln w="9525"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6922091235264"/>
          <c:y val="0.0887450199203187"/>
          <c:w val="0.801819579702717"/>
          <c:h val="0.790418326693227"/>
        </c:manualLayout>
      </c:layout>
      <c:scatterChart>
        <c:scatterStyle val="marker"/>
        <c:varyColors val="0"/>
        <c:ser>
          <c:idx val="0"/>
          <c:order val="0"/>
          <c:spPr>
            <a:ln w="19050" cap="rnd">
              <a:noFill/>
              <a:round/>
            </a:ln>
            <a:effectLst/>
          </c:spPr>
          <c:marker>
            <c:symbol val="circle"/>
            <c:size val="11"/>
            <c:spPr>
              <a:solidFill>
                <a:schemeClr val="accent1"/>
              </a:solidFill>
              <a:ln w="19050">
                <a:solidFill>
                  <a:schemeClr val="tx1">
                    <a:lumMod val="85000"/>
                    <a:lumOff val="15000"/>
                  </a:schemeClr>
                </a:solidFill>
              </a:ln>
              <a:effectLst/>
            </c:spPr>
          </c:marker>
          <c:dLbls>
            <c:dLbl>
              <c:idx val="9"/>
              <c:layout>
                <c:manualLayout>
                  <c:x val="-0.0584415584415584"/>
                  <c:y val="-0.116923076923077"/>
                </c:manualLayout>
              </c:layout>
              <c:dLblPos val="b"/>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yVal>
            <c:numRef>
              <c:f>'[0622 聚苯乙烯各企业装置能耗计算表.xlsx]PS汇总'!$M$3:$M$19</c:f>
              <c:numCache>
                <c:formatCode>0.00_);[Red]\(0.00\)</c:formatCode>
                <c:ptCount val="17"/>
                <c:pt idx="0">
                  <c:v>100.56633334529</c:v>
                </c:pt>
                <c:pt idx="4">
                  <c:v>60.1252275111455</c:v>
                </c:pt>
                <c:pt idx="7">
                  <c:v>57.0863306920487</c:v>
                </c:pt>
                <c:pt idx="9">
                  <c:v>76.9870949702409</c:v>
                </c:pt>
                <c:pt idx="13" c:formatCode="General">
                  <c:v>82.32</c:v>
                </c:pt>
                <c:pt idx="14" c:formatCode="0.00_ ">
                  <c:v>66.1</c:v>
                </c:pt>
                <c:pt idx="15" c:formatCode="General">
                  <c:v>106.03</c:v>
                </c:pt>
                <c:pt idx="16" c:formatCode="General">
                  <c:v>97.89</c:v>
                </c:pt>
              </c:numCache>
            </c:numRef>
          </c:yVal>
          <c:smooth val="0"/>
        </c:ser>
        <c:dLbls>
          <c:showLegendKey val="0"/>
          <c:showVal val="0"/>
          <c:showCatName val="0"/>
          <c:showSerName val="0"/>
          <c:showPercent val="0"/>
          <c:showBubbleSize val="0"/>
        </c:dLbls>
        <c:axId val="331495891"/>
        <c:axId val="334153750"/>
      </c:scatterChart>
      <c:valAx>
        <c:axId val="331495891"/>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334153750"/>
        <c:crosses val="autoZero"/>
        <c:crossBetween val="midCat"/>
      </c:valAx>
      <c:valAx>
        <c:axId val="334153750"/>
        <c:scaling>
          <c:orientation val="minMax"/>
        </c:scaling>
        <c:delete val="0"/>
        <c:axPos val="l"/>
        <c:majorGridlines>
          <c:spPr>
            <a:ln w="9525" cap="flat" cmpd="sng" algn="ctr">
              <a:solidFill>
                <a:schemeClr val="tx1">
                  <a:lumMod val="50000"/>
                  <a:lumOff val="50000"/>
                  <a:alpha val="25000"/>
                </a:schemeClr>
              </a:solidFill>
              <a:prstDash val="dash"/>
              <a:round/>
            </a:ln>
            <a:effectLst/>
          </c:spPr>
        </c:majorGridlines>
        <c:numFmt formatCode="General" sourceLinked="0"/>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331495891"/>
        <c:crosses val="autoZero"/>
        <c:crossBetween val="midCat"/>
      </c:valAx>
      <c:spPr>
        <a:noFill/>
        <a:ln>
          <a:noFill/>
        </a:ln>
        <a:effectLst/>
      </c:spPr>
    </c:plotArea>
    <c:plotVisOnly val="1"/>
    <c:dispBlanksAs val="gap"/>
    <c:showDLblsOverMax val="0"/>
    <c:extLst>
      <c:ext uri="{0b15fc19-7d7d-44ad-8c2d-2c3a37ce22c3}">
        <chartProps xmlns="https://web.wps.cn/et/2018/main" chartId="{65bc52f0-d6df-4d06-9ac5-86f0be530a7e}"/>
      </c:ext>
    </c:extLst>
  </c:chart>
  <c:spPr>
    <a:solidFill>
      <a:schemeClr val="bg1"/>
    </a:solidFill>
    <a:ln w="9525"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59422771187477"/>
          <c:y val="0.0655074365704287"/>
          <c:w val="0.813672496025437"/>
          <c:h val="0.826093613298338"/>
        </c:manualLayout>
      </c:layout>
      <c:scatterChart>
        <c:scatterStyle val="marker"/>
        <c:varyColors val="0"/>
        <c:ser>
          <c:idx val="0"/>
          <c:order val="0"/>
          <c:spPr>
            <a:ln w="19050" cap="rnd">
              <a:noFill/>
              <a:round/>
            </a:ln>
            <a:effectLst/>
          </c:spPr>
          <c:marker>
            <c:symbol val="circle"/>
            <c:size val="11"/>
            <c:spPr>
              <a:solidFill>
                <a:schemeClr val="accent1"/>
              </a:solidFill>
              <a:ln w="19050">
                <a:solidFill>
                  <a:schemeClr val="tx1">
                    <a:lumMod val="85000"/>
                    <a:lumOff val="15000"/>
                  </a:schemeClr>
                </a:solidFill>
              </a:ln>
              <a:effectLst/>
            </c:spPr>
          </c:marker>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yVal>
            <c:numRef>
              <c:f>'[0622 聚苯乙烯各企业装置能耗计算表.xlsx]EPS汇总'!$L$5:$L$13</c:f>
              <c:numCache>
                <c:formatCode>0.00_);[Red]\(0.00\)</c:formatCode>
                <c:ptCount val="9"/>
                <c:pt idx="0">
                  <c:v>71.1533333333333</c:v>
                </c:pt>
                <c:pt idx="3">
                  <c:v>77.512</c:v>
                </c:pt>
                <c:pt idx="8" c:formatCode="General">
                  <c:v>82.43</c:v>
                </c:pt>
              </c:numCache>
            </c:numRef>
          </c:yVal>
          <c:smooth val="0"/>
        </c:ser>
        <c:dLbls>
          <c:showLegendKey val="0"/>
          <c:showVal val="0"/>
          <c:showCatName val="0"/>
          <c:showSerName val="0"/>
          <c:showPercent val="0"/>
          <c:showBubbleSize val="0"/>
        </c:dLbls>
        <c:axId val="152533820"/>
        <c:axId val="107025324"/>
      </c:scatterChart>
      <c:valAx>
        <c:axId val="152533820"/>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107025324"/>
        <c:crosses val="autoZero"/>
        <c:crossBetween val="midCat"/>
      </c:valAx>
      <c:valAx>
        <c:axId val="107025324"/>
        <c:scaling>
          <c:orientation val="minMax"/>
          <c:min val="65"/>
        </c:scaling>
        <c:delete val="0"/>
        <c:axPos val="l"/>
        <c:majorGridlines>
          <c:spPr>
            <a:ln w="9525" cap="flat" cmpd="sng" algn="ctr">
              <a:solidFill>
                <a:schemeClr val="tx1">
                  <a:lumMod val="50000"/>
                  <a:lumOff val="50000"/>
                  <a:alpha val="25000"/>
                </a:schemeClr>
              </a:solidFill>
              <a:prstDash val="dash"/>
              <a:round/>
            </a:ln>
            <a:effectLst/>
          </c:spPr>
        </c:majorGridlines>
        <c:numFmt formatCode="General" sourceLinked="0"/>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crossAx val="152533820"/>
        <c:crosses val="autoZero"/>
        <c:crossBetween val="midCat"/>
      </c:valAx>
      <c:spPr>
        <a:noFill/>
        <a:ln>
          <a:noFill/>
        </a:ln>
        <a:effectLst/>
      </c:spPr>
    </c:plotArea>
    <c:plotVisOnly val="1"/>
    <c:dispBlanksAs val="gap"/>
    <c:showDLblsOverMax val="0"/>
    <c:extLst>
      <c:ext uri="{0b15fc19-7d7d-44ad-8c2d-2c3a37ce22c3}">
        <chartProps xmlns="https://web.wps.cn/et/2018/main" chartId="{a8a6dae2-a98f-4545-b669-a9f2da3fff5a}"/>
      </c:ext>
    </c:extLst>
  </c:chart>
  <c:spPr>
    <a:solidFill>
      <a:schemeClr val="bg1"/>
    </a:solidFill>
    <a:ln w="9525" cap="flat" cmpd="sng" algn="ctr">
      <a:solidFill>
        <a:schemeClr val="tx1">
          <a:lumMod val="50000"/>
          <a:lumOff val="50000"/>
          <a:alpha val="25000"/>
        </a:schemeClr>
      </a:solidFill>
      <a:round/>
    </a:ln>
    <a:effectLst>
      <a:outerShdw blurRad="63500" dist="37357" dir="2700000" sx="0" sy="0" rotWithShape="0">
        <a:scrgbClr r="0" g="0" b="0"/>
      </a:outerShdw>
    </a:effectLst>
  </c:spPr>
  <c:txPr>
    <a:bodyPr/>
    <a:lstStyle/>
    <a:p>
      <a:pPr>
        <a:defRPr lang="zh-CN">
          <a:solidFill>
            <a:schemeClr val="tx1">
              <a:lumMod val="75000"/>
              <a:lumOff val="25000"/>
            </a:scheme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可爱风">
    <a:dk1>
      <a:srgbClr val="000000"/>
    </a:dk1>
    <a:lt1>
      <a:srgbClr val="FFFFFF"/>
    </a:lt1>
    <a:dk2>
      <a:srgbClr val="44546A"/>
    </a:dk2>
    <a:lt2>
      <a:srgbClr val="E7E6E6"/>
    </a:lt2>
    <a:accent1>
      <a:srgbClr val="8ECBEE"/>
    </a:accent1>
    <a:accent2>
      <a:srgbClr val="FFD873"/>
    </a:accent2>
    <a:accent3>
      <a:srgbClr val="F279A3"/>
    </a:accent3>
    <a:accent4>
      <a:srgbClr val="F8B39E"/>
    </a:accent4>
    <a:accent5>
      <a:srgbClr val="B8E2DD"/>
    </a:accent5>
    <a:accent6>
      <a:srgbClr val="DEDC6A"/>
    </a:accent6>
    <a:hlink>
      <a:srgbClr val="0026E5"/>
    </a:hlink>
    <a:folHlink>
      <a:srgbClr val="7E1FA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可爱风">
    <a:dk1>
      <a:srgbClr val="000000"/>
    </a:dk1>
    <a:lt1>
      <a:srgbClr val="FFFFFF"/>
    </a:lt1>
    <a:dk2>
      <a:srgbClr val="44546A"/>
    </a:dk2>
    <a:lt2>
      <a:srgbClr val="E7E6E6"/>
    </a:lt2>
    <a:accent1>
      <a:srgbClr val="8ECBEE"/>
    </a:accent1>
    <a:accent2>
      <a:srgbClr val="FFD873"/>
    </a:accent2>
    <a:accent3>
      <a:srgbClr val="F279A3"/>
    </a:accent3>
    <a:accent4>
      <a:srgbClr val="F8B39E"/>
    </a:accent4>
    <a:accent5>
      <a:srgbClr val="B8E2DD"/>
    </a:accent5>
    <a:accent6>
      <a:srgbClr val="DEDC6A"/>
    </a:accent6>
    <a:hlink>
      <a:srgbClr val="0026E5"/>
    </a:hlink>
    <a:folHlink>
      <a:srgbClr val="7E1FA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可爱风">
    <a:dk1>
      <a:srgbClr val="000000"/>
    </a:dk1>
    <a:lt1>
      <a:srgbClr val="FFFFFF"/>
    </a:lt1>
    <a:dk2>
      <a:srgbClr val="44546A"/>
    </a:dk2>
    <a:lt2>
      <a:srgbClr val="E7E6E6"/>
    </a:lt2>
    <a:accent1>
      <a:srgbClr val="8ECBEE"/>
    </a:accent1>
    <a:accent2>
      <a:srgbClr val="FFD873"/>
    </a:accent2>
    <a:accent3>
      <a:srgbClr val="F279A3"/>
    </a:accent3>
    <a:accent4>
      <a:srgbClr val="F8B39E"/>
    </a:accent4>
    <a:accent5>
      <a:srgbClr val="B8E2DD"/>
    </a:accent5>
    <a:accent6>
      <a:srgbClr val="DEDC6A"/>
    </a:accent6>
    <a:hlink>
      <a:srgbClr val="0026E5"/>
    </a:hlink>
    <a:folHlink>
      <a:srgbClr val="7E1FA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可爱风">
    <a:dk1>
      <a:srgbClr val="000000"/>
    </a:dk1>
    <a:lt1>
      <a:srgbClr val="FFFFFF"/>
    </a:lt1>
    <a:dk2>
      <a:srgbClr val="44546A"/>
    </a:dk2>
    <a:lt2>
      <a:srgbClr val="E7E6E6"/>
    </a:lt2>
    <a:accent1>
      <a:srgbClr val="8ECBEE"/>
    </a:accent1>
    <a:accent2>
      <a:srgbClr val="FFD873"/>
    </a:accent2>
    <a:accent3>
      <a:srgbClr val="F279A3"/>
    </a:accent3>
    <a:accent4>
      <a:srgbClr val="F8B39E"/>
    </a:accent4>
    <a:accent5>
      <a:srgbClr val="B8E2DD"/>
    </a:accent5>
    <a:accent6>
      <a:srgbClr val="DEDC6A"/>
    </a:accent6>
    <a:hlink>
      <a:srgbClr val="0026E5"/>
    </a:hlink>
    <a:folHlink>
      <a:srgbClr val="7E1FA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可爱风">
    <a:dk1>
      <a:srgbClr val="000000"/>
    </a:dk1>
    <a:lt1>
      <a:srgbClr val="FFFFFF"/>
    </a:lt1>
    <a:dk2>
      <a:srgbClr val="44546A"/>
    </a:dk2>
    <a:lt2>
      <a:srgbClr val="E7E6E6"/>
    </a:lt2>
    <a:accent1>
      <a:srgbClr val="8ECBEE"/>
    </a:accent1>
    <a:accent2>
      <a:srgbClr val="FFD873"/>
    </a:accent2>
    <a:accent3>
      <a:srgbClr val="F279A3"/>
    </a:accent3>
    <a:accent4>
      <a:srgbClr val="F8B39E"/>
    </a:accent4>
    <a:accent5>
      <a:srgbClr val="B8E2DD"/>
    </a:accent5>
    <a:accent6>
      <a:srgbClr val="DEDC6A"/>
    </a:accent6>
    <a:hlink>
      <a:srgbClr val="0026E5"/>
    </a:hlink>
    <a:folHlink>
      <a:srgbClr val="7E1FA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可爱风">
    <a:dk1>
      <a:srgbClr val="000000"/>
    </a:dk1>
    <a:lt1>
      <a:srgbClr val="FFFFFF"/>
    </a:lt1>
    <a:dk2>
      <a:srgbClr val="44546A"/>
    </a:dk2>
    <a:lt2>
      <a:srgbClr val="E7E6E6"/>
    </a:lt2>
    <a:accent1>
      <a:srgbClr val="8ECBEE"/>
    </a:accent1>
    <a:accent2>
      <a:srgbClr val="FFD873"/>
    </a:accent2>
    <a:accent3>
      <a:srgbClr val="F279A3"/>
    </a:accent3>
    <a:accent4>
      <a:srgbClr val="F8B39E"/>
    </a:accent4>
    <a:accent5>
      <a:srgbClr val="B8E2DD"/>
    </a:accent5>
    <a:accent6>
      <a:srgbClr val="DEDC6A"/>
    </a:accent6>
    <a:hlink>
      <a:srgbClr val="0026E5"/>
    </a:hlink>
    <a:folHlink>
      <a:srgbClr val="7E1FA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可爱风">
    <a:dk1>
      <a:srgbClr val="000000"/>
    </a:dk1>
    <a:lt1>
      <a:srgbClr val="FFFFFF"/>
    </a:lt1>
    <a:dk2>
      <a:srgbClr val="44546A"/>
    </a:dk2>
    <a:lt2>
      <a:srgbClr val="E7E6E6"/>
    </a:lt2>
    <a:accent1>
      <a:srgbClr val="8ECBEE"/>
    </a:accent1>
    <a:accent2>
      <a:srgbClr val="FFD873"/>
    </a:accent2>
    <a:accent3>
      <a:srgbClr val="F279A3"/>
    </a:accent3>
    <a:accent4>
      <a:srgbClr val="F8B39E"/>
    </a:accent4>
    <a:accent5>
      <a:srgbClr val="B8E2DD"/>
    </a:accent5>
    <a:accent6>
      <a:srgbClr val="DEDC6A"/>
    </a:accent6>
    <a:hlink>
      <a:srgbClr val="0026E5"/>
    </a:hlink>
    <a:folHlink>
      <a:srgbClr val="7E1FA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可爱风">
    <a:dk1>
      <a:srgbClr val="000000"/>
    </a:dk1>
    <a:lt1>
      <a:srgbClr val="FFFFFF"/>
    </a:lt1>
    <a:dk2>
      <a:srgbClr val="44546A"/>
    </a:dk2>
    <a:lt2>
      <a:srgbClr val="E7E6E6"/>
    </a:lt2>
    <a:accent1>
      <a:srgbClr val="8ECBEE"/>
    </a:accent1>
    <a:accent2>
      <a:srgbClr val="FFD873"/>
    </a:accent2>
    <a:accent3>
      <a:srgbClr val="F279A3"/>
    </a:accent3>
    <a:accent4>
      <a:srgbClr val="F8B39E"/>
    </a:accent4>
    <a:accent5>
      <a:srgbClr val="B8E2DD"/>
    </a:accent5>
    <a:accent6>
      <a:srgbClr val="DEDC6A"/>
    </a:accent6>
    <a:hlink>
      <a:srgbClr val="0026E5"/>
    </a:hlink>
    <a:folHlink>
      <a:srgbClr val="7E1FA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Narrow"/>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de37f759-e501-4bef-a119-ac389d9f1d16</errorID>
      <errorWord>二O二六</errorWord>
      <group>L1_Knowledge</group>
      <groupName>知识性问题</groupName>
      <ability>L2_Knowledge</ability>
      <abilityName>其他知识</abilityName>
      <candidateList>
        <item>二〇二六</item>
      </candidateList>
      <explain/>
      <paraID>3DACFF3A</paraID>
      <start>0</start>
      <end>4</end>
      <status>modified</status>
      <modifiedWord>二〇二六</modifiedWord>
      <trackRevisions>false</trackRevisions>
    </reviewItem>
    <reviewItem>
      <errorID>8407f73e-e741-41c2-b743-88af3296a093</errorID>
      <errorWord>“双碳”战略</errorWord>
      <group>L1_Word</group>
      <groupName>字词问题</groupName>
      <ability>L2_Typo</ability>
      <abilityName>字词错误</abilityName>
      <candidateList>
        <item>“双碳”目标</item>
      </candidateList>
      <explain/>
      <paraID>5FAA51F4</paraID>
      <start>15</start>
      <end>21</end>
      <status>modified</status>
      <modifiedWord>“双碳”目标</modifiedWord>
      <trackRevisions>false</trackRevisions>
    </reviewItem>
    <reviewItem>
      <errorID>af65df4c-17d2-4979-bb37-6e35dfbc7f30</errorID>
      <errorWord>制定计划</errorWord>
      <group>L1_Knowledge</group>
      <groupName>知识性问题</groupName>
      <ability>L2_Knowledge</ability>
      <abilityName>其他知识</abilityName>
      <candidateList>
        <item>制订计划</item>
      </candidateList>
      <explain/>
      <paraID> 14CA858</paraID>
      <start>63</start>
      <end>67</end>
      <status>modified</status>
      <modifiedWord>制订计划</modifiedWord>
      <trackRevisions>false</trackRevisions>
    </reviewItem>
    <reviewItem>
      <errorID>c104bb93-b3c7-40a5-9f3f-fb5bf191badd</errorID>
      <errorWord>(</errorWord>
      <group>L1_Format</group>
      <groupName>格式问题</groupName>
      <ability>L2_HalfPunc</ability>
      <abilityName>全半角检查</abilityName>
      <candidateList>
        <item>（</item>
      </candidateList>
      <explain>文本全半角错误。</explain>
      <paraID> 14CA858</paraID>
      <start>69</start>
      <end>70</end>
      <status>modified</status>
      <modifiedWord>（</modifiedWord>
      <trackRevisions>false</trackRevisions>
    </reviewItem>
    <reviewItem>
      <errorID>1f22ace2-1300-4ffc-828b-2d4a4f93cd13</errorID>
      <errorWord>)</errorWord>
      <group>L1_Format</group>
      <groupName>格式问题</groupName>
      <ability>L2_HalfPunc</ability>
      <abilityName>全半角检查</abilityName>
      <candidateList>
        <item>）</item>
      </candidateList>
      <explain>文本全半角错误。</explain>
      <paraID> 14CA858</paraID>
      <start>73</start>
      <end>74</end>
      <status>modified</status>
      <modifiedWord>）</modifiedWord>
      <trackRevisions>false</trackRevisions>
    </reviewItem>
    <reviewItem>
      <errorID>0154d35b-5492-421c-a5d2-b7b999f8dfee</errorID>
      <errorWord>〔2026〕02号</errorWord>
      <group>L1_Knowledge</group>
      <groupName>知识性问题</groupName>
      <ability>L2_Knowledge</ability>
      <abilityName>其他知识</abilityName>
      <candidateList>
        <item>〔2026〕2号</item>
      </candidateList>
      <explain>发文字号格式错误。</explain>
      <paraID> 14CA858</paraID>
      <start>83</start>
      <end>91</end>
      <status>modified</status>
      <modifiedWord>〔2026〕2号</modifiedWord>
      <trackRevisions>false</trackRevisions>
    </reviewItem>
    <reviewItem>
      <errorID>b08d980b-22d9-4e06-86d8-880dbf534763</errorID>
      <errorWord>GBT</errorWord>
      <group>L1_Word</group>
      <groupName>字词问题</groupName>
      <ability>L2_Typo</ability>
      <abilityName>字词错误</abilityName>
      <candidateList>
        <item>GB/T</item>
      </candidateList>
      <explain/>
      <paraID> 67CA22C</paraID>
      <start>1</start>
      <end>5</end>
      <status>modified</status>
      <modifiedWord>GB/T</modifiedWord>
      <trackRevisions>false</trackRevisions>
    </reviewItem>
    <reviewItem>
      <errorID>8433aa46-dfeb-452e-b372-6814268b2416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2C973E42</paraID>
      <start>0</start>
      <end>2</end>
      <status>modified</status>
      <modifiedWord>1.</modifiedWord>
      <trackRevisions>false</trackRevisions>
    </reviewItem>
    <reviewItem>
      <errorID>f59aba43-e3d6-4180-b057-87cdd28fa3f5</errorID>
      <errorWord>法律、法规</errorWord>
      <group>L1_Word</group>
      <groupName>字词问题</groupName>
      <ability>L2_Typo</ability>
      <abilityName>字词错误</abilityName>
      <candidateList>
        <item>法律法规</item>
      </candidateList>
      <explain/>
      <paraID>6CA9E13D</paraID>
      <start>41</start>
      <end>45</end>
      <status>modified</status>
      <modifiedWord>法律法规</modifiedWord>
      <trackRevisions>false</trackRevisions>
    </reviewItem>
    <reviewItem>
      <errorID>b997e276-71db-48b8-898f-078952a336e8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5D7A558F</paraID>
      <start>0</start>
      <end>2</end>
      <status>modified</status>
      <modifiedWord>2.</modifiedWord>
      <trackRevisions>false</trackRevisions>
    </reviewItem>
    <reviewItem>
      <errorID>806a3648-fd5a-4ea1-85ca-6d2115510218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4B29293E</paraID>
      <start>0</start>
      <end>2</end>
      <status>modified</status>
      <modifiedWord>3.</modifiedWord>
      <trackRevisions>false</trackRevisions>
    </reviewItem>
    <reviewItem>
      <errorID>a3f0a9e8-688d-46e5-8b93-a32690e911c4</errorID>
      <errorWord>《石化化工行业单位产品碳排放限额编制导则》（征求意见稿）</errorWord>
      <group>L1_Knowledge</group>
      <groupName>知识性问题</groupName>
      <ability>L2_Knowledge</ability>
      <abilityName>其他知识</abilityName>
      <candidateList>
        <item>《石化化工行业单位产品碳排放限额编制导则（征求意见稿）》</item>
      </candidateList>
      <explain>疑似政策文件、法律法规名称等书写不规范，请注意检查。</explain>
      <paraID>647DBCBC</paraID>
      <start>92</start>
      <end>120</end>
      <status>modified</status>
      <modifiedWord>《石化化工行业单位产品碳排放限额编制导则（征求意见稿）》</modifiedWord>
      <trackRevisions>false</trackRevisions>
    </reviewItem>
    <reviewItem>
      <errorID>4c05dcd4-935f-44a0-8c2c-6cc72e88bf07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FCF4EF6</paraID>
      <start>0</start>
      <end>2</end>
      <status>modified</status>
      <modifiedWord>1.</modifiedWord>
      <trackRevisions>false</trackRevisions>
    </reviewItem>
    <reviewItem>
      <errorID>ae1ade99-695f-43fa-a6ce-9682b68b059b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57385610</paraID>
      <start>0</start>
      <end>2</end>
      <status>modified</status>
      <modifiedWord>2.</modifiedWord>
      <trackRevisions>false</trackRevisions>
    </reviewItem>
    <reviewItem>
      <errorID>30d4178c-fbbb-49ec-8b0d-6020b32dab90</errorID>
      <errorWord>悬浮聚合发</errorWord>
      <group>L1_Other</group>
      <groupName>其他问题</groupName>
      <ability>L2_Consistency</ability>
      <abilityName>一致性检查</abilityName>
      <candidateList>
        <item>悬浮聚合法</item>
      </candidateList>
      <explain>术语一致性：‘悬浮聚合发’表述有误，应与前文及后文统一为‘悬浮聚合法’</explain>
      <paraID>6C6CA324</paraID>
      <start>83</start>
      <end>88</end>
      <status>modified</status>
      <modifiedWord>悬浮聚合法</modifiedWord>
      <trackRevisions>false</trackRevisions>
    </reviewItem>
    <reviewItem>
      <errorID>a32c422d-4718-44c4-aa79-813f51539733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5834103</paraID>
      <start>0</start>
      <end>2</end>
      <status>modified</status>
      <modifiedWord>3.</modifiedWord>
      <trackRevisions>false</trackRevisions>
    </reviewItem>
    <reviewItem>
      <errorID>19c6e19c-2aed-4b34-aaa5-0cecc60b83a4</errorID>
      <errorWord>能源消耗按</errorWord>
      <group>L1_Word</group>
      <groupName>字词问题</groupName>
      <ability>L2_Typo</ability>
      <abilityName>字词错误</abilityName>
      <candidateList>
        <item>能源消耗</item>
      </candidateList>
      <explain/>
      <paraID>324A444A</paraID>
      <start>139</start>
      <end>144</end>
      <status>ignored</status>
      <modifiedWord/>
      <trackRevisions>false</trackRevisions>
    </reviewItem>
    <reviewItem>
      <errorID>9f1c777f-a679-47b0-b4ef-b821218c5bf4</errorID>
      <errorWord>2</errorWord>
      <group>L1_Word</group>
      <groupName>字词问题</groupName>
      <ability>L2_Typo</ability>
      <abilityName>字词错误</abilityName>
      <candidateList>
        <item>3</item>
      </candidateList>
      <explain/>
      <paraID>601C337D</paraID>
      <start>1</start>
      <end>2</end>
      <status>modified</status>
      <modifiedWord>3</modifiedWord>
      <trackRevisions>false</trackRevisions>
    </reviewItem>
    <reviewItem>
      <errorID>c702336b-7f05-4dbb-b53f-ca0258550b10</errorID>
      <errorWord>,</errorWord>
      <group>L1_Format</group>
      <groupName>格式问题</groupName>
      <ability>L2_HalfPunc</ability>
      <abilityName>全半角检查</abilityName>
      <candidateList>
        <item>，</item>
      </candidateList>
      <explain>文本全半角错误。</explain>
      <paraID>28B24190</paraID>
      <start>18</start>
      <end>19</end>
      <status>modified</status>
      <modifiedWord>，</modifiedWord>
      <trackRevisions>false</trackRevisions>
    </reviewItem>
    <reviewItem>
      <errorID>8dd9ddd4-e41b-4c51-95d6-1243e06477e3</errorID>
      <errorWord>（</errorWord>
      <group>L1_Format</group>
      <groupName>格式问题</groupName>
      <ability>L2_HalfPunc</ability>
      <abilityName>全半角检查</abilityName>
      <candidateList>
        <item>(</item>
      </candidateList>
      <explain>文本全半角错误。</explain>
      <paraID>210A45E8</paraID>
      <start>37</start>
      <end>38</end>
      <status>modified</status>
      <modifiedWord>(</modifiedWord>
      <trackRevisions>false</trackRevisions>
    </reviewItem>
    <reviewItem>
      <errorID>9f229827-c617-4f60-902a-e1233f0b892b</errorID>
      <errorWord>）</errorWord>
      <group>L1_Format</group>
      <groupName>格式问题</groupName>
      <ability>L2_HalfPunc</ability>
      <abilityName>全半角检查</abilityName>
      <candidateList>
        <item>)</item>
      </candidateList>
      <explain>文本全半角错误。</explain>
      <paraID>210A45E8</paraID>
      <start>39</start>
      <end>40</end>
      <status>modified</status>
      <modifiedWord>)</modifiedWord>
      <trackRevisions>false</trackRevisions>
    </reviewItem>
    <reviewItem>
      <errorID>28b982a0-2789-430c-853c-d513c04af3ca</errorID>
      <errorWord>（</errorWord>
      <group>L1_Format</group>
      <groupName>格式问题</groupName>
      <ability>L2_HalfPunc</ability>
      <abilityName>全半角检查</abilityName>
      <candidateList>
        <item>(</item>
      </candidateList>
      <explain>文本全半角错误。</explain>
      <paraID>39917240</paraID>
      <start>10</start>
      <end>11</end>
      <status>modified</status>
      <modifiedWord>(</modifiedWord>
      <trackRevisions>false</trackRevisions>
    </reviewItem>
    <reviewItem>
      <errorID>435daa4f-d641-4d07-a277-d6c4d39b4781</errorID>
      <errorWord>）</errorWord>
      <group>L1_Format</group>
      <groupName>格式问题</groupName>
      <ability>L2_HalfPunc</ability>
      <abilityName>全半角检查</abilityName>
      <candidateList>
        <item>)</item>
      </candidateList>
      <explain>文本全半角错误。</explain>
      <paraID>39917240</paraID>
      <start>12</start>
      <end>13</end>
      <status>modified</status>
      <modifiedWord>)</modifiedWord>
      <trackRevisions>false</trackRevisions>
    </reviewItem>
    <reviewItem>
      <errorID>d57a3aa6-95ae-47ba-a222-707145f6265d</errorID>
      <errorWord>(</errorWord>
      <group>L1_Format</group>
      <groupName>格式问题</groupName>
      <ability>L2_HalfPunc</ability>
      <abilityName>全半角检查</abilityName>
      <candidateList>
        <item>（</item>
      </candidateList>
      <explain>文本全半角错误。</explain>
      <paraID> 6539D65</paraID>
      <start>38</start>
      <end>39</end>
      <status>modified</status>
      <modifiedWord>（</modifiedWord>
      <trackRevisions>false</trackRevisions>
    </reviewItem>
    <reviewItem>
      <errorID>02933b97-b939-4d51-9d14-82ddbab77f0d</errorID>
      <errorWord>)</errorWord>
      <group>L1_Format</group>
      <groupName>格式问题</groupName>
      <ability>L2_HalfPunc</ability>
      <abilityName>全半角检查</abilityName>
      <candidateList>
        <item>）</item>
      </candidateList>
      <explain>文本全半角错误。</explain>
      <paraID> 6539D65</paraID>
      <start>43</start>
      <end>44</end>
      <status>modified</status>
      <modifiedWord>）</modifiedWord>
      <trackRevisions>false</trackRevisions>
    </reviewItem>
    <reviewItem>
      <errorID>b7974b61-1128-46ee-b1c2-a4e9cd2e0290</errorID>
      <errorWord>(</errorWord>
      <group>L1_Format</group>
      <groupName>格式问题</groupName>
      <ability>L2_HalfPunc</ability>
      <abilityName>全半角检查</abilityName>
      <candidateList>
        <item>（</item>
      </candidateList>
      <explain>文本全半角错误。</explain>
      <paraID>63E6B4DE</paraID>
      <start>41</start>
      <end>42</end>
      <status>modified</status>
      <modifiedWord>（</modifiedWord>
      <trackRevisions>false</trackRevisions>
    </reviewItem>
    <reviewItem>
      <errorID>e02099bf-5d77-4dcb-8206-2a609bb63542</errorID>
      <errorWord>)</errorWord>
      <group>L1_Format</group>
      <groupName>格式问题</groupName>
      <ability>L2_HalfPunc</ability>
      <abilityName>全半角检查</abilityName>
      <candidateList>
        <item>）</item>
      </candidateList>
      <explain>文本全半角错误。</explain>
      <paraID>63E6B4DE</paraID>
      <start>46</start>
      <end>47</end>
      <status>modified</status>
      <modifiedWord>）</modifiedWord>
      <trackRevisions>false</trackRevisions>
    </reviewItem>
    <reviewItem>
      <errorID>9b454910-081c-4903-8310-9ca8e6592292</errorID>
      <errorWord>(</errorWord>
      <group>L1_Format</group>
      <groupName>格式问题</groupName>
      <ability>L2_HalfPunc</ability>
      <abilityName>全半角检查</abilityName>
      <candidateList>
        <item>（</item>
      </candidateList>
      <explain>文本全半角错误。</explain>
      <paraID>1EA31804</paraID>
      <start>39</start>
      <end>40</end>
      <status>modified</status>
      <modifiedWord>（</modifiedWord>
      <trackRevisions>false</trackRevisions>
    </reviewItem>
    <reviewItem>
      <errorID>fd2e3eb2-7593-4325-b1cc-801411b0a215</errorID>
      <errorWord>)</errorWord>
      <group>L1_Format</group>
      <groupName>格式问题</groupName>
      <ability>L2_HalfPunc</ability>
      <abilityName>全半角检查</abilityName>
      <candidateList>
        <item>）</item>
      </candidateList>
      <explain>文本全半角错误。</explain>
      <paraID>1EA31804</paraID>
      <start>44</start>
      <end>45</end>
      <status>modified</status>
      <modifiedWord>）</modifiedWord>
      <trackRevisions>false</trackRevisions>
    </reviewItem>
    <reviewItem>
      <errorID>3688f7e9-0b8f-4ef4-862d-a6569c1c058b</errorID>
      <errorWord>(</errorWord>
      <group>L1_Format</group>
      <groupName>格式问题</groupName>
      <ability>L2_HalfPunc</ability>
      <abilityName>全半角检查</abilityName>
      <candidateList>
        <item>（</item>
      </candidateList>
      <explain>文本全半角错误。</explain>
      <paraID>53171E9B</paraID>
      <start>40</start>
      <end>41</end>
      <status>modified</status>
      <modifiedWord>（</modifiedWord>
      <trackRevisions>false</trackRevisions>
    </reviewItem>
    <reviewItem>
      <errorID>222ea770-8d11-4002-b037-7a3f2e315d13</errorID>
      <errorWord>)</errorWord>
      <group>L1_Format</group>
      <groupName>格式问题</groupName>
      <ability>L2_HalfPunc</ability>
      <abilityName>全半角检查</abilityName>
      <candidateList>
        <item>）</item>
      </candidateList>
      <explain>文本全半角错误。</explain>
      <paraID>53171E9B</paraID>
      <start>45</start>
      <end>46</end>
      <status>modified</status>
      <modifiedWord>）</modifiedWord>
      <trackRevisions>false</trackRevisions>
    </reviewItem>
    <reviewItem>
      <errorID>6b6065a6-b206-448d-b6ba-ae0b81bae816</errorID>
      <errorWord>(</errorWord>
      <group>L1_Format</group>
      <groupName>格式问题</groupName>
      <ability>L2_HalfPunc</ability>
      <abilityName>全半角检查</abilityName>
      <candidateList>
        <item>（</item>
      </candidateList>
      <explain>文本全半角错误。</explain>
      <paraID>35100CA4</paraID>
      <start>40</start>
      <end>41</end>
      <status>modified</status>
      <modifiedWord>（</modifiedWord>
      <trackRevisions>false</trackRevisions>
    </reviewItem>
    <reviewItem>
      <errorID>c9962976-1edc-455b-8d72-520a107a8f98</errorID>
      <errorWord>)</errorWord>
      <group>L1_Format</group>
      <groupName>格式问题</groupName>
      <ability>L2_HalfPunc</ability>
      <abilityName>全半角检查</abilityName>
      <candidateList>
        <item>）</item>
      </candidateList>
      <explain>文本全半角错误。</explain>
      <paraID>35100CA4</paraID>
      <start>45</start>
      <end>46</end>
      <status>modified</status>
      <modifiedWord>）</modifiedWord>
      <trackRevisions>false</trackRevisions>
    </reviewItem>
    <reviewItem>
      <errorID>0ca22c5d-c8e3-49fe-821f-d569fa1d521b</errorID>
      <errorWord>(</errorWord>
      <group>L1_Format</group>
      <groupName>格式问题</groupName>
      <ability>L2_HalfPunc</ability>
      <abilityName>全半角检查</abilityName>
      <candidateList>
        <item>（</item>
      </candidateList>
      <explain>文本全半角错误。</explain>
      <paraID>7DEF48FA</paraID>
      <start>40</start>
      <end>41</end>
      <status>modified</status>
      <modifiedWord>（</modifiedWord>
      <trackRevisions>false</trackRevisions>
    </reviewItem>
    <reviewItem>
      <errorID>6d6adc32-0d99-43db-84b2-7f8ec4c3dca4</errorID>
      <errorWord>)</errorWord>
      <group>L1_Format</group>
      <groupName>格式问题</groupName>
      <ability>L2_HalfPunc</ability>
      <abilityName>全半角检查</abilityName>
      <candidateList>
        <item>）</item>
      </candidateList>
      <explain>文本全半角错误。</explain>
      <paraID>7DEF48FA</paraID>
      <start>45</start>
      <end>46</end>
      <status>modified</status>
      <modifiedWord>）</modifiedWord>
      <trackRevisions>false</trackRevisions>
    </reviewItem>
    <reviewItem>
      <errorID>3694d00b-a82c-41f4-9eb7-658775cfa8ce</errorID>
      <errorWord> </errorWord>
      <group>L1_Punc</group>
      <groupName>标点问题</groupName>
      <ability>L2_Punc</ability>
      <abilityName>标点符号检查</abilityName>
      <candidateList>
        <item/>
      </candidateList>
      <explain>此处空格冗余，建议删除。</explain>
      <paraID>4224B16F</paraID>
      <start>6</start>
      <end>7</end>
      <status>ignored</status>
      <modifiedWord/>
      <trackRevisions>false</trackRevisions>
    </reviewItem>
    <reviewItem>
      <errorID>3e14b8d3-7b08-41bc-b795-9006ca65b378</errorID>
      <errorWord>(</errorWord>
      <group>L1_Format</group>
      <groupName>格式问题</groupName>
      <ability>L2_HalfPunc</ability>
      <abilityName>全半角检查</abilityName>
      <candidateList>
        <item>（</item>
      </candidateList>
      <explain>文本全半角错误。</explain>
      <paraID>4224B16F</paraID>
      <start>40</start>
      <end>41</end>
      <status>modified</status>
      <modifiedWord>（</modifiedWord>
      <trackRevisions>false</trackRevisions>
    </reviewItem>
    <reviewItem>
      <errorID>1d575dff-c01f-4159-b4e8-701e9c1a5a15</errorID>
      <errorWord>)</errorWord>
      <group>L1_Format</group>
      <groupName>格式问题</groupName>
      <ability>L2_HalfPunc</ability>
      <abilityName>全半角检查</abilityName>
      <candidateList>
        <item>）</item>
      </candidateList>
      <explain>文本全半角错误。</explain>
      <paraID>4224B16F</paraID>
      <start>45</start>
      <end>46</end>
      <status>modified</status>
      <modifiedWord>）</modifiedWord>
      <trackRevisions>false</trackRevisions>
    </reviewItem>
    <reviewItem>
      <errorID>25acb473-fa72-4a53-8f48-5990e93861a6</errorID>
      <errorWord> </errorWord>
      <group>L1_Punc</group>
      <groupName>标点问题</groupName>
      <ability>L2_Punc</ability>
      <abilityName>标点符号检查</abilityName>
      <candidateList>
        <item/>
      </candidateList>
      <explain>此处空格冗余，建议删除。</explain>
      <paraID>6C462AD4</paraID>
      <start>2</start>
      <end>3</end>
      <status>ignored</status>
      <modifiedWord/>
      <trackRevisions>false</trackRevisions>
    </reviewItem>
    <reviewItem>
      <errorID>764bd93f-bbe9-41d7-b1a4-a3bc9032bcd4</errorID>
      <errorWord>(</errorWord>
      <group>L1_Format</group>
      <groupName>格式问题</groupName>
      <ability>L2_HalfPunc</ability>
      <abilityName>全半角检查</abilityName>
      <candidateList>
        <item>（</item>
      </candidateList>
      <explain>文本全半角错误。</explain>
      <paraID>6C462AD4</paraID>
      <start>42</start>
      <end>43</end>
      <status>modified</status>
      <modifiedWord>（</modifiedWord>
      <trackRevisions>false</trackRevisions>
    </reviewItem>
    <reviewItem>
      <errorID>40cbf62e-d49d-4237-a4e7-16a38a05a82d</errorID>
      <errorWord>)</errorWord>
      <group>L1_Format</group>
      <groupName>格式问题</groupName>
      <ability>L2_HalfPunc</ability>
      <abilityName>全半角检查</abilityName>
      <candidateList>
        <item>）</item>
      </candidateList>
      <explain>文本全半角错误。</explain>
      <paraID>6C462AD4</paraID>
      <start>47</start>
      <end>48</end>
      <status>modified</status>
      <modifiedWord>）</modifiedWord>
      <trackRevisions>false</trackRevisions>
    </reviewItem>
    <reviewItem>
      <errorID>a0501219-aa03-421e-908a-340e62cb30ea</errorID>
      <errorWord>（ </errorWord>
      <group>L1_Punc</group>
      <groupName>标点问题</groupName>
      <ability>L2_Punc</ability>
      <abilityName>标点符号检查</abilityName>
      <candidateList>
        <item>(</item>
      </candidateList>
      <explain/>
      <paraID>1A8086F3</paraID>
      <start>15</start>
      <end>17</end>
      <status>ignored</status>
      <modifiedWord/>
      <trackRevisions>false</trackRevisions>
    </reviewItem>
    <reviewItem>
      <errorID>91eb9798-ce3d-4694-88b2-0be1c5e5a756</errorID>
      <errorWord> </errorWord>
      <group>L1_Punc</group>
      <groupName>标点问题</groupName>
      <ability>L2_Punc</ability>
      <abilityName>标点符号检查</abilityName>
      <candidateList>
        <item>_</item>
      </candidateList>
      <explain/>
      <paraID>1A8086F3</paraID>
      <start>19</start>
      <end>20</end>
      <status>ignored</status>
      <modifiedWord/>
      <trackRevisions>false</trackRevisions>
    </reviewItem>
    <reviewItem>
      <errorID>16886a6d-212b-4374-bc55-75370c5d4e0b</errorID>
      <errorWord> </errorWord>
      <group>L1_Punc</group>
      <groupName>标点问题</groupName>
      <ability>L2_Punc</ability>
      <abilityName>标点符号检查</abilityName>
      <candidateList>
        <item>_</item>
      </candidateList>
      <explain/>
      <paraID>1A8086F3</paraID>
      <start>26</start>
      <end>27</end>
      <status>ignored</status>
      <modifiedWord/>
      <trackRevisions>false</trackRevisions>
    </reviewItem>
    <reviewItem>
      <errorID>53bf9eae-468e-4232-b2bd-d6742d315b95</errorID>
      <errorWord> ）</errorWord>
      <group>L1_Punc</group>
      <groupName>标点问题</groupName>
      <ability>L2_Punc</ability>
      <abilityName>标点符号检查</abilityName>
      <candidateList>
        <item>)</item>
      </candidateList>
      <explain/>
      <paraID>1A8086F3</paraID>
      <start>28</start>
      <end>30</end>
      <status>ignored</status>
      <modifiedWord/>
      <trackRevisions>false</trackRevisions>
    </reviewItem>
    <reviewItem>
      <errorID>2fce47a0-1835-44c7-a475-994533f5ded5</errorID>
      <errorWord>）</errorWord>
      <group>L1_Format</group>
      <groupName>格式问题</groupName>
      <ability>L2_HalfPunc</ability>
      <abilityName>全半角检查</abilityName>
      <candidateList>
        <item>)</item>
      </candidateList>
      <explain>文本全半角错误。</explain>
      <paraID>6B384750</paraID>
      <start>25</start>
      <end>26</end>
      <status>ignored</status>
      <modifiedWord/>
      <trackRevisions>false</trackRevisions>
    </reviewItem>
    <reviewItem>
      <errorID>b2da8d53-2414-4d13-9ffb-38b3aa04cab6</errorID>
      <errorWord> </errorWord>
      <group>L1_Punc</group>
      <groupName>标点问题</groupName>
      <ability>L2_Punc</ability>
      <abilityName>标点符号检查</abilityName>
      <candidateList>
        <item>_</item>
      </candidateList>
      <explain/>
      <paraID>46DCB09B</paraID>
      <start>4</start>
      <end>5</end>
      <status>ignored</status>
      <modifiedWord/>
      <trackRevisions>false</trackRevisions>
    </reviewItem>
    <reviewItem>
      <errorID>3ede5e75-1027-4130-8fe5-e71b6906b562</errorID>
      <errorWord> </errorWord>
      <group>L1_Punc</group>
      <groupName>标点问题</groupName>
      <ability>L2_Punc</ability>
      <abilityName>标点符号检查</abilityName>
      <candidateList>
        <item>_</item>
      </candidateList>
      <explain/>
      <paraID>46DCB09B</paraID>
      <start>11</start>
      <end>12</end>
      <status>ignored</status>
      <modifiedWord/>
      <trackRevisions>false</trackRevisions>
    </reviewItem>
    <reviewItem>
      <errorID>9c3fde1f-e061-4519-a65e-aa406edc0dc8</errorID>
      <errorWord> </errorWord>
      <group>L1_Punc</group>
      <groupName>标点问题</groupName>
      <ability>L2_Punc</ability>
      <abilityName>标点符号检查</abilityName>
      <candidateList>
        <item>_</item>
      </candidateList>
      <explain/>
      <paraID>46DCB09B</paraID>
      <start>18</start>
      <end>19</end>
      <status>ignored</status>
      <modifiedWord/>
      <trackRevisions>false</trackRevisions>
    </reviewItem>
    <reviewItem>
      <errorID>d9701001-78ad-49aa-a5e8-4bdcd7fc3f4a</errorID>
      <errorWord> </errorWord>
      <group>L1_Punc</group>
      <groupName>标点问题</groupName>
      <ability>L2_Punc</ability>
      <abilityName>标点符号检查</abilityName>
      <candidateList>
        <item>/</item>
      </candidateList>
      <explain/>
      <paraID>46DCB09B</paraID>
      <start>25</start>
      <end>26</end>
      <status>ignored</status>
      <modifiedWord/>
      <trackRevisions>false</trackRevisions>
    </reviewItem>
    <reviewItem>
      <errorID>92b47782-c317-48ba-9386-ab67200892ad</errorID>
      <errorWord>（</errorWord>
      <group>L1_Format</group>
      <groupName>格式问题</groupName>
      <ability>L2_HalfPunc</ability>
      <abilityName>全半角检查</abilityName>
      <candidateList>
        <item>(</item>
      </candidateList>
      <explain>文本全半角错误。</explain>
      <paraID>46DCB09B</paraID>
      <start>30</start>
      <end>31</end>
      <status>ignored</status>
      <modifiedWord/>
      <trackRevisions>false</trackRevisions>
    </reviewItem>
    <reviewItem>
      <errorID>6bb99f5d-a738-4757-b2d3-879e8ea574c7</errorID>
      <errorWord>）</errorWord>
      <group>L1_Format</group>
      <groupName>格式问题</groupName>
      <ability>L2_HalfPunc</ability>
      <abilityName>全半角检查</abilityName>
      <candidateList>
        <item>)</item>
      </candidateList>
      <explain>文本全半角错误。</explain>
      <paraID>46DCB09B</paraID>
      <start>32</start>
      <end>33</end>
      <status>ignored</status>
      <modifiedWord/>
      <trackRevisions>false</trackRevisions>
    </reviewItem>
    <reviewItem>
      <errorID>a72a6b0a-5250-4b48-ae6b-39e67aa7bb4f</errorID>
      <errorWord> </errorWord>
      <group>L1_Punc</group>
      <groupName>标点问题</groupName>
      <ability>L2_Punc</ability>
      <abilityName>标点符号检查</abilityName>
      <candidateList>
        <item/>
      </candidateList>
      <explain>此处空格冗余，建议删除。</explain>
      <paraID>6092CD2B</paraID>
      <start>5</start>
      <end>6</end>
      <status>ignored</status>
      <modifiedWord/>
      <trackRevisions>false</trackRevisions>
    </reviewItem>
    <reviewItem>
      <errorID>d8127b71-9ff8-4279-9f87-88a8cbcbed79</errorID>
      <errorWord>(</errorWord>
      <group>L1_Format</group>
      <groupName>格式问题</groupName>
      <ability>L2_HalfPunc</ability>
      <abilityName>全半角检查</abilityName>
      <candidateList>
        <item>（</item>
      </candidateList>
      <explain>文本全半角错误。</explain>
      <paraID>6092CD2B</paraID>
      <start>49</start>
      <end>50</end>
      <status>ignored</status>
      <modifiedWord/>
      <trackRevisions>false</trackRevisions>
    </reviewItem>
    <reviewItem>
      <errorID>55c0d991-a95b-40de-9aff-eca925ed517d</errorID>
      <errorWord>)</errorWord>
      <group>L1_Format</group>
      <groupName>格式问题</groupName>
      <ability>L2_HalfPunc</ability>
      <abilityName>全半角检查</abilityName>
      <candidateList>
        <item>）</item>
      </candidateList>
      <explain>文本全半角错误。</explain>
      <paraID>6092CD2B</paraID>
      <start>54</start>
      <end>55</end>
      <status>unmodified</status>
      <modifiedWord/>
      <trackRevisions>false</trackRevisions>
    </reviewItem>
    <reviewItem>
      <errorID>598bb687-25e7-4cb7-a0b9-18628d978cf0</errorID>
      <errorWord>程</errorWord>
      <group>L1_Word</group>
      <groupName>字词问题</groupName>
      <ability>L2_Typo</ability>
      <abilityName>字词错误</abilityName>
      <candidateList>
        <item>程中</item>
      </candidateList>
      <explain/>
      <paraID>278E51B9</paraID>
      <start>44</start>
      <end>45</end>
      <status>unmodified</status>
      <modifiedWord/>
      <trackRevisions>false</trackRevisions>
    </reviewItem>
    <reviewItem>
      <errorID>062f9bed-181a-497a-9e61-776f57d91413</errorID>
      <errorWord>(</errorWord>
      <group>L1_Format</group>
      <groupName>格式问题</groupName>
      <ability>L2_HalfPunc</ability>
      <abilityName>全半角检查</abilityName>
      <candidateList>
        <item>（</item>
      </candidateList>
      <explain>文本全半角错误。</explain>
      <paraID> FB3A78E</paraID>
      <start>43</start>
      <end>44</end>
      <status>unmodified</status>
      <modifiedWord/>
      <trackRevisions>false</trackRevisions>
    </reviewItem>
    <reviewItem>
      <errorID>88dcf8c9-edd4-4184-b693-63e55cc56748</errorID>
      <errorWord>)</errorWord>
      <group>L1_Format</group>
      <groupName>格式问题</groupName>
      <ability>L2_HalfPunc</ability>
      <abilityName>全半角检查</abilityName>
      <candidateList>
        <item>）</item>
      </candidateList>
      <explain>文本全半角错误。</explain>
      <paraID> FB3A78E</paraID>
      <start>48</start>
      <end>49</end>
      <status>unmodified</status>
      <modifiedWord/>
      <trackRevisions>false</trackRevisions>
    </reviewItem>
    <reviewItem>
      <errorID>9cdfe8d4-bfb5-4e01-bd87-0718a3a9e75c</errorID>
      <errorWord>(</errorWord>
      <group>L1_Format</group>
      <groupName>格式问题</groupName>
      <ability>L2_HalfPunc</ability>
      <abilityName>全半角检查</abilityName>
      <candidateList>
        <item>（</item>
      </candidateList>
      <explain>文本全半角错误。</explain>
      <paraID>152EAA35</paraID>
      <start>43</start>
      <end>44</end>
      <status>unmodified</status>
      <modifiedWord/>
      <trackRevisions>false</trackRevisions>
    </reviewItem>
    <reviewItem>
      <errorID>11d12c76-b2f3-4f2e-99cc-5fd86a819f97</errorID>
      <errorWord>)</errorWord>
      <group>L1_Format</group>
      <groupName>格式问题</groupName>
      <ability>L2_HalfPunc</ability>
      <abilityName>全半角检查</abilityName>
      <candidateList>
        <item>）</item>
      </candidateList>
      <explain>文本全半角错误。</explain>
      <paraID>152EAA35</paraID>
      <start>48</start>
      <end>49</end>
      <status>unmodified</status>
      <modifiedWord/>
      <trackRevisions>false</trackRevisions>
    </reviewItem>
    <reviewItem>
      <errorID>ec2b39d1-63eb-4ba1-9ea0-9ed7c1000e6d</errorID>
      <errorWord>(</errorWord>
      <group>L1_Format</group>
      <groupName>格式问题</groupName>
      <ability>L2_HalfPunc</ability>
      <abilityName>全半角检查</abilityName>
      <candidateList>
        <item>（</item>
      </candidateList>
      <explain>文本全半角错误。</explain>
      <paraID>5415A1A8</paraID>
      <start>43</start>
      <end>44</end>
      <status>unmodified</status>
      <modifiedWord/>
      <trackRevisions>false</trackRevisions>
    </reviewItem>
    <reviewItem>
      <errorID>fa2d13dd-e199-4985-9a2c-11c6bce92e42</errorID>
      <errorWord>)</errorWord>
      <group>L1_Format</group>
      <groupName>格式问题</groupName>
      <ability>L2_HalfPunc</ability>
      <abilityName>全半角检查</abilityName>
      <candidateList>
        <item>）</item>
      </candidateList>
      <explain>文本全半角错误。</explain>
      <paraID>5415A1A8</paraID>
      <start>48</start>
      <end>49</end>
      <status>unmodified</status>
      <modifiedWord/>
      <trackRevisions>false</trackRevisions>
    </reviewItem>
    <reviewItem>
      <errorID>73316e70-7f6a-4463-93d7-0d25cd11dd7c</errorID>
      <errorWord>(</errorWord>
      <group>L1_Format</group>
      <groupName>格式问题</groupName>
      <ability>L2_HalfPunc</ability>
      <abilityName>全半角检查</abilityName>
      <candidateList>
        <item>（</item>
      </candidateList>
      <explain>文本全半角错误。</explain>
      <paraID>1B081C17</paraID>
      <start>43</start>
      <end>44</end>
      <status>unmodified</status>
      <modifiedWord/>
      <trackRevisions>false</trackRevisions>
    </reviewItem>
    <reviewItem>
      <errorID>daf6d4a2-4096-4939-a1c3-66a3734e7527</errorID>
      <errorWord>)</errorWord>
      <group>L1_Format</group>
      <groupName>格式问题</groupName>
      <ability>L2_HalfPunc</ability>
      <abilityName>全半角检查</abilityName>
      <candidateList>
        <item>）</item>
      </candidateList>
      <explain>文本全半角错误。</explain>
      <paraID>1B081C17</paraID>
      <start>48</start>
      <end>49</end>
      <status>unmodified</status>
      <modifiedWord/>
      <trackRevisions>false</trackRevisions>
    </reviewItem>
    <reviewItem>
      <errorID>7c88c35d-11b6-41c1-b49e-9ae837ffb936</errorID>
      <errorWord> </errorWord>
      <group>L1_Punc</group>
      <groupName>标点问题</groupName>
      <ability>L2_Punc</ability>
      <abilityName>标点符号检查</abilityName>
      <candidateList>
        <item/>
      </candidateList>
      <explain>此处空格冗余，建议删除。</explain>
      <paraID>21FE888F</paraID>
      <start>3</start>
      <end>4</end>
      <status>ignored</status>
      <modifiedWord/>
      <trackRevisions>false</trackRevisions>
    </reviewItem>
    <reviewItem>
      <errorID>bd93a518-9349-4dc3-a1c6-a2a576a7cbc0</errorID>
      <errorWord> ×</errorWord>
      <group>L1_Word</group>
      <groupName>字词问题</groupName>
      <ability>L2_Typo</ability>
      <abilityName>字词错误</abilityName>
      <candidateList>
        <item>× </item>
      </candidateList>
      <explain/>
      <paraID>21FE888F</paraID>
      <start>25</start>
      <end>27</end>
      <status>unmodified</status>
      <modifiedWord/>
      <trackRevisions>false</trackRevisions>
    </reviewItem>
    <reviewItem>
      <errorID>061b41d4-18b9-4675-ac74-814d9d223343</errorID>
      <errorWord>（</errorWord>
      <group>L1_Format</group>
      <groupName>格式问题</groupName>
      <ability>L2_HalfPunc</ability>
      <abilityName>全半角检查</abilityName>
      <candidateList>
        <item>(</item>
      </candidateList>
      <explain>文本全半角错误。</explain>
      <paraID>21FE888F</paraID>
      <start>33</start>
      <end>34</end>
      <status>unmodified</status>
      <modifiedWord/>
      <trackRevisions>false</trackRevisions>
    </reviewItem>
    <reviewItem>
      <errorID>94fc46cb-991f-4cea-8dab-3fa5686af44e</errorID>
      <errorWord>）</errorWord>
      <group>L1_Format</group>
      <groupName>格式问题</groupName>
      <ability>L2_HalfPunc</ability>
      <abilityName>全半角检查</abilityName>
      <candidateList>
        <item>)</item>
      </candidateList>
      <explain>文本全半角错误。</explain>
      <paraID>21FE888F</paraID>
      <start>36</start>
      <end>37</end>
      <status>unmodified</status>
      <modifiedWord/>
      <trackRevisions>false</trackRevisions>
    </reviewItem>
    <reviewItem>
      <errorID>4a3c1605-b1ea-4b90-87bf-ece51cc526cd</errorID>
      <errorWord> </errorWord>
      <group>L1_Punc</group>
      <groupName>标点问题</groupName>
      <ability>L2_Punc</ability>
      <abilityName>标点符号检查</abilityName>
      <candidateList>
        <item/>
      </candidateList>
      <explain>此处空格冗余，建议删除。</explain>
      <paraID>66AC086C</paraID>
      <start>3</start>
      <end>4</end>
      <status>unmodified</status>
      <modifiedWord/>
      <trackRevisions>false</trackRevisions>
    </reviewItem>
    <reviewItem>
      <errorID>e46d64db-58f2-4d70-abcb-a8d4ceacc4a2</errorID>
      <errorWord>（</errorWord>
      <group>L1_Format</group>
      <groupName>格式问题</groupName>
      <ability>L2_HalfPunc</ability>
      <abilityName>全半角检查</abilityName>
      <candidateList>
        <item>(</item>
      </candidateList>
      <explain>文本全半角错误。</explain>
      <paraID>66AC086C</paraID>
      <start>27</start>
      <end>28</end>
      <status>unmodified</status>
      <modifiedWord/>
      <trackRevisions>false</trackRevisions>
    </reviewItem>
    <reviewItem>
      <errorID>93377aa8-48e0-47d0-9ec2-fd7a78a5172f</errorID>
      <errorWord>）</errorWord>
      <group>L1_Format</group>
      <groupName>格式问题</groupName>
      <ability>L2_HalfPunc</ability>
      <abilityName>全半角检查</abilityName>
      <candidateList>
        <item>)</item>
      </candidateList>
      <explain>文本全半角错误。</explain>
      <paraID>66AC086C</paraID>
      <start>30</start>
      <end>31</end>
      <status>unmodified</status>
      <modifiedWord/>
      <trackRevisions>false</trackRevisions>
    </reviewItem>
    <reviewItem>
      <errorID>d5d68af4-a3d8-4303-91bf-3d2ee76fe3d7</errorID>
      <errorWord> </errorWord>
      <group>L1_Punc</group>
      <groupName>标点问题</groupName>
      <ability>L2_Punc</ability>
      <abilityName>标点符号检查</abilityName>
      <candidateList>
        <item/>
      </candidateList>
      <explain>此处空格冗余，建议删除。</explain>
      <paraID>1C7984E9</paraID>
      <start>2</start>
      <end>3</end>
      <status>unmodified</status>
      <modifiedWord/>
      <trackRevisions>false</trackRevisions>
    </reviewItem>
    <reviewItem>
      <errorID>5de3fc9a-3d77-4a86-a812-42247232ecd8</errorID>
      <errorWord>(</errorWord>
      <group>L1_Format</group>
      <groupName>格式问题</groupName>
      <ability>L2_HalfPunc</ability>
      <abilityName>全半角检查</abilityName>
      <candidateList>
        <item>（</item>
      </candidateList>
      <explain>文本全半角错误。</explain>
      <paraID>1C7984E9</paraID>
      <start>39</start>
      <end>40</end>
      <status>unmodified</status>
      <modifiedWord/>
      <trackRevisions>false</trackRevisions>
    </reviewItem>
    <reviewItem>
      <errorID>0e94a688-7c5c-42eb-a1e9-781382a4a046</errorID>
      <errorWord>)</errorWord>
      <group>L1_Format</group>
      <groupName>格式问题</groupName>
      <ability>L2_HalfPunc</ability>
      <abilityName>全半角检查</abilityName>
      <candidateList>
        <item>）</item>
      </candidateList>
      <explain>文本全半角错误。</explain>
      <paraID>1C7984E9</paraID>
      <start>44</start>
      <end>45</end>
      <status>unmodified</status>
      <modifiedWord/>
      <trackRevisions>false</trackRevisions>
    </reviewItem>
    <reviewItem>
      <errorID>48b2ff2a-00dc-4f0e-bb80-3ca6db70f0be</errorID>
      <errorWord>(</errorWord>
      <group>L1_Format</group>
      <groupName>格式问题</groupName>
      <ability>L2_HalfPunc</ability>
      <abilityName>全半角检查</abilityName>
      <candidateList>
        <item>（</item>
      </candidateList>
      <explain>文本全半角错误。</explain>
      <paraID>1100EF62</paraID>
      <start>37</start>
      <end>38</end>
      <status>unmodified</status>
      <modifiedWord/>
      <trackRevisions>false</trackRevisions>
    </reviewItem>
    <reviewItem>
      <errorID>028b3129-9109-4f05-9113-f3cb6e68c2f0</errorID>
      <errorWord>)</errorWord>
      <group>L1_Format</group>
      <groupName>格式问题</groupName>
      <ability>L2_HalfPunc</ability>
      <abilityName>全半角检查</abilityName>
      <candidateList>
        <item>）</item>
      </candidateList>
      <explain>文本全半角错误。</explain>
      <paraID>1100EF62</paraID>
      <start>47</start>
      <end>48</end>
      <status>unmodified</status>
      <modifiedWord/>
      <trackRevisions>false</trackRevisions>
    </reviewItem>
    <reviewItem>
      <errorID>cf6621a8-a588-43ed-8471-56600ad5a1fe</errorID>
      <errorWord> </errorWord>
      <group>L1_Punc</group>
      <groupName>标点问题</groupName>
      <ability>L2_Punc</ability>
      <abilityName>标点符号检查</abilityName>
      <candidateList>
        <item/>
      </candidateList>
      <explain>此处空格冗余，建议删除。</explain>
      <paraID>7BC9F8E7</paraID>
      <start>3</start>
      <end>4</end>
      <status>unmodified</status>
      <modifiedWord/>
      <trackRevisions>false</trackRevisions>
    </reviewItem>
    <reviewItem>
      <errorID>1d687a22-c413-4391-8161-2c020613dc72</errorID>
      <errorWord> </errorWord>
      <group>L1_Punc</group>
      <groupName>标点问题</groupName>
      <ability>L2_Punc</ability>
      <abilityName>标点符号检查</abilityName>
      <candidateList>
        <item/>
      </candidateList>
      <explain>此处空格冗余，建议删除。</explain>
      <paraID>7BC9F8E7</paraID>
      <start>15</start>
      <end>16</end>
      <status>unmodified</status>
      <modifiedWord/>
      <trackRevisions>false</trackRevisions>
    </reviewItem>
    <reviewItem>
      <errorID>9e530bbc-bc43-4220-bf91-79ce8b40ab73</errorID>
      <errorWord> </errorWord>
      <group>L1_Punc</group>
      <groupName>标点问题</groupName>
      <ability>L2_Punc</ability>
      <abilityName>标点符号检查</abilityName>
      <candidateList>
        <item>/</item>
      </candidateList>
      <explain/>
      <paraID>7BC9F8E7</paraID>
      <start>22</start>
      <end>23</end>
      <status>unmodified</status>
      <modifiedWord/>
      <trackRevisions>false</trackRevisions>
    </reviewItem>
    <reviewItem>
      <errorID>ac807d9d-937c-464a-87e6-d9e086400930</errorID>
      <errorWord>（</errorWord>
      <group>L1_Format</group>
      <groupName>格式问题</groupName>
      <ability>L2_HalfPunc</ability>
      <abilityName>全半角检查</abilityName>
      <candidateList>
        <item>(</item>
      </candidateList>
      <explain>文本全半角错误。</explain>
      <paraID>7BC9F8E7</paraID>
      <start>27</start>
      <end>28</end>
      <status>unmodified</status>
      <modifiedWord/>
      <trackRevisions>false</trackRevisions>
    </reviewItem>
    <reviewItem>
      <errorID>38cfe025-ce95-4f1d-b860-80168a2ee2a1</errorID>
      <errorWord>）</errorWord>
      <group>L1_Format</group>
      <groupName>格式问题</groupName>
      <ability>L2_HalfPunc</ability>
      <abilityName>全半角检查</abilityName>
      <candidateList>
        <item>)</item>
      </candidateList>
      <explain>文本全半角错误。</explain>
      <paraID>7BC9F8E7</paraID>
      <start>30</start>
      <end>31</end>
      <status>unmodified</status>
      <modifiedWord/>
      <trackRevisions>false</trackRevisions>
    </reviewItem>
    <reviewItem>
      <errorID>a8cd6f8c-df9d-4a75-8caf-5e8ae06c851f</errorID>
      <errorWord> </errorWord>
      <group>L1_Punc</group>
      <groupName>标点问题</groupName>
      <ability>L2_Punc</ability>
      <abilityName>标点符号检查</abilityName>
      <candidateList>
        <item/>
      </candidateList>
      <explain>此处空格冗余，建议删除。</explain>
      <paraID>65ABCE27</paraID>
      <start>2</start>
      <end>3</end>
      <status>unmodified</status>
      <modifiedWord/>
      <trackRevisions>false</trackRevisions>
    </reviewItem>
    <reviewItem>
      <errorID>c640e391-1f3b-43e8-a190-f10f03952385</errorID>
      <errorWord> </errorWord>
      <group>L1_Punc</group>
      <groupName>标点问题</groupName>
      <ability>L2_Punc</ability>
      <abilityName>标点符号检查</abilityName>
      <candidateList>
        <item/>
      </candidateList>
      <explain>此处空格冗余，建议删除。</explain>
      <paraID>30CCA173</paraID>
      <start>2</start>
      <end>3</end>
      <status>unmodified</status>
      <modifiedWord/>
      <trackRevisions>false</trackRevisions>
    </reviewItem>
    <reviewItem>
      <errorID>90181e11-5dcf-474e-a96a-854f7d8948b4</errorID>
      <errorWord>(</errorWord>
      <group>L1_Format</group>
      <groupName>格式问题</groupName>
      <ability>L2_HalfPunc</ability>
      <abilityName>全半角检查</abilityName>
      <candidateList>
        <item>（</item>
      </candidateList>
      <explain>文本全半角错误。</explain>
      <paraID>30CCA173</paraID>
      <start>38</start>
      <end>39</end>
      <status>unmodified</status>
      <modifiedWord/>
      <trackRevisions>false</trackRevisions>
    </reviewItem>
    <reviewItem>
      <errorID>ddd1b675-9e12-4bd7-8cdd-e50a52b1e57b</errorID>
      <errorWord>)</errorWord>
      <group>L1_Format</group>
      <groupName>格式问题</groupName>
      <ability>L2_HalfPunc</ability>
      <abilityName>全半角检查</abilityName>
      <candidateList>
        <item>）</item>
      </candidateList>
      <explain>文本全半角错误。</explain>
      <paraID>30CCA173</paraID>
      <start>43</start>
      <end>44</end>
      <status>unmodified</status>
      <modifiedWord/>
      <trackRevisions>false</trackRevisions>
    </reviewItem>
    <reviewItem>
      <errorID>a2d92315-c78c-45fe-93d2-c288250912a6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B29F90B</paraID>
      <start>0</start>
      <end>2</end>
      <status>modified</status>
      <modifiedWord>4.</modifiedWord>
      <trackRevisions>false</trackRevisions>
    </reviewItem>
    <reviewItem>
      <errorID>ce3b3c25-678e-48cc-b6f1-bdfed93c450d</errorID>
      <errorWord>《石化化工行业单位产品碳排放限额编制导则》（征求意见稿）</errorWord>
      <group>L1_Knowledge</group>
      <groupName>知识性问题</groupName>
      <ability>L2_Knowledge</ability>
      <abilityName>其他知识</abilityName>
      <candidateList>
        <item>《石化化工行业单位产品碳排放限额编制导则（征求意见稿）》</item>
      </candidateList>
      <explain>疑似政策文件、法律法规名称等书写不规范，请注意检查。</explain>
      <paraID> 6EADFDC</paraID>
      <start>44</start>
      <end>72</end>
      <status>modified</status>
      <modifiedWord>《石化化工行业单位产品碳排放限额编制导则（征求意见稿）》</modifiedWord>
      <trackRevisions>false</trackRevisions>
    </reviewItem>
    <reviewItem>
      <errorID>0933ae53-9e22-4c1c-a79b-48ea75801164</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 6EADFDC</paraID>
      <start>185</start>
      <end>186</end>
      <status>modified</status>
      <modifiedWord>等</modifiedWord>
      <trackRevisions>false</trackRevisions>
    </reviewItem>
    <reviewItem>
      <errorID>d5988c09-d35b-4efc-a868-6f5ee1412704</errorID>
      <errorWord>GB 12723-2024</errorWord>
      <group>L1_Other</group>
      <groupName>其他问题</groupName>
      <ability>L2_Consistency</ability>
      <abilityName>一致性检查</abilityName>
      <candidateList>
        <item>GB/T 12723-2024</item>
      </candidateList>
      <explain>术语一致性：标准编号的规范格式应为‘GB/T’，此处‘GB’表述与文中其他标准编号格式不一致</explain>
      <paraID>260727BE</paraID>
      <start>19</start>
      <end>34</end>
      <status>modified</status>
      <modifiedWord>GB/T 12723-2024</modifiedWord>
      <trackRevisions>false</trackRevisions>
    </reviewItem>
    <reviewItem>
      <errorID>660e93c6-0118-425d-91f4-a1e044939009</errorID>
      <errorWord>：</errorWord>
      <group>L1_Punc</group>
      <groupName>标点问题</groupName>
      <ability>L2_Punc</ability>
      <abilityName>标点符号检查</abilityName>
      <candidateList>
        <item>，</item>
      </candidateList>
      <explain/>
      <paraID>260727BE</paraID>
      <start>107</start>
      <end>108</end>
      <status>ignored</status>
      <modifiedWord/>
      <trackRevisions>false</trackRevisions>
    </reviewItem>
    <reviewItem>
      <errorID>7d91663b-6d2c-451c-b750-b4231019034c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483D4AB3</paraID>
      <start>0</start>
      <end>2</end>
      <status>modified</status>
      <modifiedWord>5.</modifiedWord>
      <trackRevisions>false</trackRevisions>
    </reviewItem>
    <reviewItem>
      <errorID>ce5aeeec-548c-47e2-8458-0755d0d1576a</errorID>
      <errorWord>公用</errorWord>
      <group>L1_Word</group>
      <groupName>字词问题</groupName>
      <ability>L2_Typo</ability>
      <abilityName>字词错误</abilityName>
      <candidateList>
        <item>共用</item>
      </candidateList>
      <explain/>
      <paraID>7A9F300B</paraID>
      <start>130</start>
      <end>132</end>
      <status>modified</status>
      <modifiedWord>共用</modifiedWord>
      <trackRevisions>false</trackRevisions>
    </reviewItem>
    <reviewItem>
      <errorID>f18c59d3-4bca-4fad-9585-6fb86b9ebeba</errorID>
      <errorWord>尽</errorWord>
      <group>L1_Word</group>
      <groupName>字词问题</groupName>
      <ability>L2_Typo</ability>
      <abilityName>字词错误</abilityName>
      <candidateList>
        <item>仅</item>
      </candidateList>
      <explain/>
      <paraID>7A9F300B</paraID>
      <start>155</start>
      <end>156</end>
      <status>modified</status>
      <modifiedWord>仅</modifiedWord>
      <trackRevisions>false</trackRevisions>
    </reviewItem>
    <reviewItem>
      <errorID>f788b47e-9b79-4a1b-b40b-12f1210c9a7c</errorID>
      <errorWord>等级分级</errorWord>
      <group>L1_Grammar</group>
      <groupName>语法问题</groupName>
      <ability>L2_Grammar</ability>
      <abilityName>语法错误</abilityName>
      <candidateList>
        <item>等级</item>
      </candidateList>
      <explain/>
      <paraID>7A9F300B</paraID>
      <start>328</start>
      <end>330</end>
      <status>modified</status>
      <modifiedWord>等级</modifiedWord>
      <trackRevisions>false</trackRevisions>
    </reviewItem>
    <reviewItem>
      <errorID>4b35d642-5503-4318-95fa-efdb5e09dda3</errorID>
      <errorWord>组</errorWord>
      <group>L1_Word</group>
      <groupName>字词问题</groupName>
      <ability>L2_Typo</ability>
      <abilityName>字词错误</abilityName>
      <candidateList>
        <item>组在</item>
      </candidateList>
      <explain/>
      <paraID> A7A14A1</paraID>
      <start>4</start>
      <end>6</end>
      <status>modified</status>
      <modifiedWord>组在</modifiedWord>
      <trackRevisions>false</trackRevisions>
    </reviewItem>
    <reviewItem>
      <errorID>f334ea64-f03f-4a3d-90c3-bbcd12c5eff8</errorID>
      <errorWord>以</errorWord>
      <group>L1_Word</group>
      <groupName>字词问题</groupName>
      <ability>L2_Typo</ability>
      <abilityName>字词错误</abilityName>
      <candidateList>
        <item>遵循</item>
      </candidateList>
      <explain/>
      <paraID> A7A14A1</paraID>
      <start>12</start>
      <end>14</end>
      <status>modified</status>
      <modifiedWord>遵循</modifiedWord>
      <trackRevisions>false</trackRevisions>
    </reviewItem>
    <reviewItem>
      <errorID>e4c5815d-299c-4e53-8ddf-928be1ef072d</errorID>
      <errorWord>意见</errorWord>
      <group>L1_Word</group>
      <groupName>字词问题</groupName>
      <ability>L2_Typo</ability>
      <abilityName>字词错误</abilityName>
      <candidateList>
        <item>的意见</item>
      </candidateList>
      <explain/>
      <paraID> A7A14A1</paraID>
      <start>48</start>
      <end>51</end>
      <status>modified</status>
      <modifiedWord>的意见</modifiedWord>
      <trackRevisions>false</trackRevisions>
    </reviewItem>
    <reviewItem>
      <errorID>26261cc2-afd1-458e-82eb-7f1aca8632bb</errorID>
      <errorWord>，结合</errorWord>
      <group>L1_Grammar</group>
      <groupName>语法问题</groupName>
      <ability>L2_Grammar</ability>
      <abilityName>语法错误</abilityName>
      <candidateList>
        <item>、</item>
      </candidateList>
      <explain/>
      <paraID> A7A14A1</paraID>
      <start>64</start>
      <end>65</end>
      <status>modified</status>
      <modifiedWord>、</modifiedWord>
      <trackRevisions>false</trackRevisions>
    </reviewItem>
    <reviewItem>
      <errorID>159254f1-4328-4b39-b9fe-bff37baeccc0</errorID>
      <errorWord>以遵循</errorWord>
      <group>L1_Word</group>
      <groupName>字词问题</groupName>
      <ability>L2_Typo</ability>
      <abilityName>字词错误</abilityName>
      <candidateList>
        <item>遵循</item>
      </candidateList>
      <explain/>
      <paraID> A7A14A1</paraID>
      <start>83</start>
      <end>86</end>
      <status>ignored</status>
      <modifiedWord/>
      <trackRevisions>false</trackRevisions>
    </reviewItem>
    <reviewItem>
      <errorID>0ece8a11-9523-4386-8077-efb09382fd7a</errorID>
      <errorWord>同时</errorWord>
      <group>L1_Punc</group>
      <groupName>标点问题</groupName>
      <ability>L2_Punc</ability>
      <abilityName>标点符号检查</abilityName>
      <candidateList>
        <item>，同时</item>
      </candidateList>
      <explain/>
      <paraID> A7A14A1</paraID>
      <start>90</start>
      <end>92</end>
      <status>ignored</status>
      <modifiedWord/>
      <trackRevisions>false</trackRevisions>
    </reviewItem>
    <reviewItem>
      <errorID>c9df0a47-4bbe-4572-b339-2c035d9e9a9f</errorID>
      <errorWord>为</errorWord>
      <group>L1_Word</group>
      <groupName>字词问题</groupName>
      <ability>L2_Typo</ability>
      <abilityName>字词错误</abilityName>
      <candidateList>
        <item>的</item>
      </candidateList>
      <explain/>
      <paraID> A7A14A1</paraID>
      <start>114</start>
      <end>115</end>
      <status>modified</status>
      <modifiedWord>的</modifiedWord>
      <trackRevisions>false</trackRevisions>
    </reviewItem>
    <reviewItem>
      <errorID>2c85c6b6-b1d2-4aff-95ce-74914ccb1ee9</errorID>
      <errorWord>组</errorWord>
      <group>L1_Word</group>
      <groupName>字词问题</groupName>
      <ability>L2_Typo</ability>
      <abilityName>字词错误</abilityName>
      <candidateList>
        <item>组在</item>
      </candidateList>
      <explain/>
      <paraID>65FFC398</paraID>
      <start>4</start>
      <end>6</end>
      <status>modified</status>
      <modifiedWord>组在</modifiedWord>
      <trackRevisions>false</trackRevisions>
    </reviewItem>
    <reviewItem>
      <errorID>838d7f42-37a8-4166-a4f8-c08ca563a89b</errorID>
      <errorWord>以</errorWord>
      <group>L1_Word</group>
      <groupName>字词问题</groupName>
      <ability>L2_Typo</ability>
      <abilityName>字词错误</abilityName>
      <candidateList>
        <item>遵循</item>
      </candidateList>
      <explain/>
      <paraID>65FFC398</paraID>
      <start>12</start>
      <end>14</end>
      <status>modified</status>
      <modifiedWord>遵循</modifiedWord>
      <trackRevisions>false</trackRevisions>
    </reviewItem>
    <reviewItem>
      <errorID>4f817e00-4cc5-4839-bfab-0a051bb29043</errorID>
      <errorWord>。以</errorWord>
      <group>L1_Word</group>
      <groupName>字词问题</groupName>
      <ability>L2_Typo</ability>
      <abilityName>字词错误</abilityName>
      <candidateList>
        <item>，</item>
      </candidateList>
      <explain/>
      <paraID>65FFC398</paraID>
      <start>83</start>
      <end>85</end>
      <status>ignored</status>
      <modifiedWord/>
      <trackRevisions>false</trackRevisions>
    </reviewItem>
    <reviewItem>
      <errorID>f7c99650-913c-4ae2-8954-69e6a9ab7dbf</errorID>
      <errorWord>为</errorWord>
      <group>L1_Word</group>
      <groupName>字词问题</groupName>
      <ability>L2_Typo</ability>
      <abilityName>字词错误</abilityName>
      <candidateList>
        <item>的</item>
      </candidateList>
      <explain/>
      <paraID>65FFC398</paraID>
      <start>115</start>
      <end>116</end>
      <status>modified</status>
      <modifiedWord>的</modifiedWord>
      <trackRevisions>false</trackRevisions>
    </reviewItem>
    <reviewItem>
      <errorID>988c2e53-4c67-465c-89ca-28ac9da32469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6066F06B</paraID>
      <start>0</start>
      <end>2</end>
      <status>modified</status>
      <modifiedWord>6.</modifiedWord>
      <trackRevisions>false</trackRevisions>
    </reviewItem>
    <reviewItem>
      <errorID>1022a935-8ecd-4cc0-ba19-7fae38178059</errorID>
      <errorWord>,</errorWord>
      <group>L1_Format</group>
      <groupName>格式问题</groupName>
      <ability>L2_HalfPunc</ability>
      <abilityName>全半角检查</abilityName>
      <candidateList>
        <item>，</item>
      </candidateList>
      <explain>文本全半角错误。</explain>
      <paraID>7CA6E6F8</paraID>
      <start>18</start>
      <end>19</end>
      <status>modified</status>
      <modifiedWord>，</modifiedWord>
      <trackRevisions>false</trackRevisions>
    </reviewItem>
    <reviewItem>
      <errorID>99106be1-c895-4fdf-b71f-4131ee4478d8</errorID>
      <errorWord>,</errorWord>
      <group>L1_Format</group>
      <groupName>格式问题</groupName>
      <ability>L2_HalfPunc</ability>
      <abilityName>全半角检查</abilityName>
      <candidateList>
        <item>，</item>
      </candidateList>
      <explain>文本全半角错误。</explain>
      <paraID>56BE410B</paraID>
      <start>23</start>
      <end>24</end>
      <status>modified</status>
      <modifiedWord>，</modifiedWord>
      <trackRevisions>false</trackRevisions>
    </reviewItem>
    <reviewItem>
      <errorID>21c1b6a8-9780-4597-8db1-26f10abca890</errorID>
      <errorWord>,</errorWord>
      <group>L1_Format</group>
      <groupName>格式问题</groupName>
      <ability>L2_HalfPunc</ability>
      <abilityName>全半角检查</abilityName>
      <candidateList>
        <item>，</item>
      </candidateList>
      <explain>文本全半角错误。</explain>
      <paraID>56BE410B</paraID>
      <start>134</start>
      <end>135</end>
      <status>modified</status>
      <modifiedWord>，</modifiedWord>
      <trackRevisions>false</trackRevisions>
    </reviewItem>
    <reviewItem>
      <errorID>9308f593-5fe8-4ee1-9339-34eee9e5a0a5</errorID>
      <errorWord>,</errorWord>
      <group>L1_Format</group>
      <groupName>格式问题</groupName>
      <ability>L2_HalfPunc</ability>
      <abilityName>全半角检查</abilityName>
      <candidateList>
        <item>，</item>
      </candidateList>
      <explain>文本全半角错误。</explain>
      <paraID>56BE410B</paraID>
      <start>147</start>
      <end>148</end>
      <status>modified</status>
      <modifiedWord>，</modifiedWord>
      <trackRevisions>false</trackRevisions>
    </reviewItem>
    <reviewItem>
      <errorID>9e70b129-80a6-48c5-86b3-580433960d3f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3A534F7A</paraID>
      <start>0</start>
      <end>2</end>
      <status>modified</status>
      <modifiedWord>7.</modifiedWord>
      <trackRevisions>false</trackRevisions>
    </reviewItem>
    <reviewItem>
      <errorID>e9bca87c-4c16-4668-bc5c-9862a6fb60f0</errorID>
      <errorWord>好</errorWord>
      <group>L1_Word</group>
      <groupName>字词问题</groupName>
      <ability>L2_Typo</ability>
      <abilityName>字词错误</abilityName>
      <candidateList>
        <item>好地</item>
      </candidateList>
      <explain/>
      <paraID>1E89CAD6</paraID>
      <start>2</start>
      <end>4</end>
      <status>modified</status>
      <modifiedWord>好地</modifiedWord>
      <trackRevisions>false</trackRevisions>
    </reviewItem>
    <reviewItem>
      <errorID>cd359762-8072-4d3f-b3ad-29dab9953c45</errorID>
      <errorWord>法律、法规</errorWord>
      <group>L1_Word</group>
      <groupName>字词问题</groupName>
      <ability>L2_Typo</ability>
      <abilityName>字词错误</abilityName>
      <candidateList>
        <item>法律法规</item>
      </candidateList>
      <explain/>
      <paraID>72C8395D</paraID>
      <start>5</start>
      <end>9</end>
      <status>modified</status>
      <modifiedWord>法律法规</modifiedWord>
      <trackRevisions>false</trackRevisions>
    </reviewItem>
    <reviewItem>
      <errorID>a3ea5dfb-3219-4d56-a6f3-75b9140b05e1</errorID>
      <errorWord>法律、法规</errorWord>
      <group>L1_Word</group>
      <groupName>字词问题</groupName>
      <ability>L2_Typo</ability>
      <abilityName>字词错误</abilityName>
      <candidateList>
        <item>法律法规</item>
      </candidateList>
      <explain/>
      <paraID>71308583</paraID>
      <start>24</start>
      <end>28</end>
      <status>modified</status>
      <modifiedWord>法律法规</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5dd538-3c1b-475d-aac6-9c9e0a5ee931}">
  <ds:schemaRefs/>
</ds:datastoreItem>
</file>

<file path=docProps/app.xml><?xml version="1.0" encoding="utf-8"?>
<Properties xmlns="http://schemas.openxmlformats.org/officeDocument/2006/extended-properties" xmlns:vt="http://schemas.openxmlformats.org/officeDocument/2006/docPropsVTypes">
  <Template>Normal.dotm</Template>
  <Pages>28</Pages>
  <Words>9539</Words>
  <Characters>10436</Characters>
  <Lines>0</Lines>
  <Paragraphs>0</Paragraphs>
  <TotalTime>1</TotalTime>
  <ScaleCrop>false</ScaleCrop>
  <LinksUpToDate>false</LinksUpToDate>
  <CharactersWithSpaces>10618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2023-11-05T13:14:00Z</dcterms:created>
  <dc:creator>沈龙</dc:creator>
  <cp:lastModifiedBy>周子填</cp:lastModifiedBy>
  <dcterms:modified xsi:type="dcterms:W3CDTF">2026-08-04T02:00:50Z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554B0D7E800C4BCF8A8D21802907E86F_13</vt:lpwstr>
  </property>
  <property fmtid="{D5CDD505-2E9C-101B-9397-08002B2CF9AE}" pid="4" name="KSOTemplateDocerSaveRecord">
    <vt:lpwstr>eyJoZGlkIjoiNjE5NDkwZTNiNzhjNThkOTg1ZTE5ODZkNmNhMTU1MjciLCJ1c2VySWQiOiI1NDA3NTgzNDgifQ==</vt:lpwstr>
  </property>
</Properties>
</file>