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B2841">
      <w:pPr>
        <w:pStyle w:val="34"/>
        <w:rPr>
          <w:rFonts w:hint="eastAsia" w:ascii="黑体" w:hAnsi="黑体" w:eastAsia="黑体" w:cs="黑体"/>
          <w:b/>
          <w:bCs/>
          <w:color w:val="auto"/>
          <w:sz w:val="21"/>
          <w:szCs w:val="21"/>
        </w:rPr>
      </w:pPr>
      <w:bookmarkStart w:id="0" w:name="FY"/>
      <w:r>
        <w:rPr>
          <w:rFonts w:hint="eastAsia" w:ascii="宋体" w:hAnsi="宋体" w:eastAsia="宋体" w:cs="宋体"/>
          <w:b/>
          <w:bCs/>
          <w:color w:val="auto"/>
          <w:sz w:val="21"/>
          <w:szCs w:val="21"/>
          <w:lang w:val="en-US" w:eastAsia="zh-CN"/>
        </w:rPr>
        <w:t>C</w:t>
      </w:r>
      <w:r>
        <w:rPr>
          <w:rFonts w:hint="eastAsia" w:ascii="宋体" w:hAnsi="宋体" w:eastAsia="宋体" w:cs="宋体"/>
          <w:b/>
          <w:bCs/>
          <w:color w:val="auto"/>
          <w:sz w:val="21"/>
          <w:szCs w:val="21"/>
        </w:rPr>
        <w:t xml:space="preserve">CS </w:t>
      </w:r>
      <w:r>
        <w:rPr>
          <w:rFonts w:hint="eastAsia" w:ascii="宋体" w:hAnsi="宋体" w:eastAsia="宋体" w:cs="宋体"/>
          <w:b/>
          <w:bCs/>
          <w:color w:val="auto"/>
          <w:sz w:val="21"/>
          <w:szCs w:val="21"/>
          <w:lang w:val="en-US" w:eastAsia="zh-CN"/>
        </w:rPr>
        <w:t>F</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lang w:val="en-US" w:eastAsia="zh-CN"/>
        </w:rPr>
        <w:t>0</w:t>
      </w:r>
      <w:r>
        <w:rPr>
          <w:rFonts w:hint="eastAsia" w:ascii="宋体" w:hAnsi="宋体" w:eastAsia="宋体" w:cs="宋体"/>
          <w:b/>
          <w:bCs/>
          <w:color w:val="auto"/>
          <w:sz w:val="21"/>
          <w:szCs w:val="21"/>
        </w:rPr>
        <w:t>1</w:t>
      </w:r>
    </w:p>
    <w:bookmarkEnd w:id="0"/>
    <w:p w14:paraId="3CF55D78">
      <w:pPr>
        <w:pStyle w:val="46"/>
        <w:spacing w:before="156" w:after="156"/>
        <w:outlineLvl w:val="9"/>
        <w:rPr>
          <w:color w:val="auto"/>
        </w:rPr>
        <w:sectPr>
          <w:headerReference r:id="rId4" w:type="first"/>
          <w:footerReference r:id="rId7" w:type="first"/>
          <w:headerReference r:id="rId3" w:type="default"/>
          <w:footerReference r:id="rId5" w:type="default"/>
          <w:footerReference r:id="rId6" w:type="even"/>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titlePg/>
          <w:docGrid w:type="lines" w:linePitch="312" w:charSpace="0"/>
        </w:sectPr>
      </w:pPr>
    </w:p>
    <w:p w14:paraId="673C4A0D">
      <w:pPr>
        <w:pStyle w:val="46"/>
        <w:spacing w:before="156" w:after="156"/>
        <w:outlineLvl w:val="9"/>
        <w:rPr>
          <w:color w:val="auto"/>
        </w:rPr>
        <w:sectPr>
          <w:type w:val="continuous"/>
          <w:pgSz w:w="11906" w:h="16838"/>
          <w:pgMar w:top="567" w:right="1134" w:bottom="1134" w:left="1361" w:header="1418" w:footer="1134" w:gutter="0"/>
          <w:pgBorders w:offsetFrom="page">
            <w:top w:val="none" w:sz="0" w:space="0"/>
            <w:left w:val="none" w:sz="0" w:space="0"/>
            <w:bottom w:val="none" w:sz="0" w:space="0"/>
            <w:right w:val="none" w:sz="0" w:space="0"/>
          </w:pgBorders>
          <w:pgNumType w:fmt="upperRoman"/>
          <w:cols w:space="425" w:num="1"/>
          <w:formProt w:val="0"/>
          <w:docGrid w:type="lines" w:linePitch="312" w:charSpace="0"/>
        </w:sectPr>
      </w:pPr>
      <w:r>
        <w:rPr>
          <w:color w:val="auto"/>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2856230</wp:posOffset>
                </wp:positionV>
                <wp:extent cx="6258560" cy="2419985"/>
                <wp:effectExtent l="0" t="0" r="2540" b="5715"/>
                <wp:wrapNone/>
                <wp:docPr id="1" name="文本框 10"/>
                <wp:cNvGraphicFramePr/>
                <a:graphic xmlns:a="http://schemas.openxmlformats.org/drawingml/2006/main">
                  <a:graphicData uri="http://schemas.microsoft.com/office/word/2010/wordprocessingShape">
                    <wps:wsp>
                      <wps:cNvSpPr txBox="1"/>
                      <wps:spPr>
                        <a:xfrm>
                          <a:off x="0" y="0"/>
                          <a:ext cx="6258560" cy="2419985"/>
                        </a:xfrm>
                        <a:prstGeom prst="rect">
                          <a:avLst/>
                        </a:prstGeom>
                        <a:solidFill>
                          <a:srgbClr val="FFFFFF"/>
                        </a:solidFill>
                        <a:ln>
                          <a:noFill/>
                        </a:ln>
                      </wps:spPr>
                      <wps:txbx>
                        <w:txbxContent>
                          <w:p w14:paraId="5C354917">
                            <w:pPr>
                              <w:pStyle w:val="23"/>
                              <w:spacing w:line="460" w:lineRule="exact"/>
                              <w:rPr>
                                <w:rFonts w:hint="default" w:eastAsia="黑体"/>
                                <w:b w:val="0"/>
                                <w:bCs/>
                                <w:color w:val="auto"/>
                                <w:sz w:val="52"/>
                                <w:szCs w:val="52"/>
                                <w:lang w:val="en-US" w:eastAsia="zh-CN"/>
                              </w:rPr>
                            </w:pPr>
                            <w:bookmarkStart w:id="22" w:name="_Hlk24468625"/>
                            <w:r>
                              <w:rPr>
                                <w:rFonts w:hint="eastAsia"/>
                                <w:b w:val="0"/>
                                <w:bCs/>
                                <w:color w:val="auto"/>
                                <w:sz w:val="52"/>
                                <w:szCs w:val="52"/>
                                <w:lang w:val="en-US" w:eastAsia="zh-CN"/>
                              </w:rPr>
                              <w:t>聚苯乙烯单位产品能耗和碳排放限额</w:t>
                            </w:r>
                          </w:p>
                          <w:bookmarkEnd w:id="22"/>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r>
                              <w:rPr>
                                <w:rFonts w:hint="eastAsia" w:ascii="黑体" w:hAnsi="黑体" w:eastAsia="黑体" w:cs="黑体"/>
                                <w:b w:val="0"/>
                                <w:bCs/>
                                <w:color w:val="auto"/>
                                <w:kern w:val="0"/>
                                <w:sz w:val="28"/>
                                <w:szCs w:val="28"/>
                                <w:highlight w:val="none"/>
                                <w:lang w:val="en-US" w:eastAsia="zh-CN"/>
                              </w:rPr>
                              <w:t xml:space="preserve">s </w:t>
                            </w:r>
                            <w:r>
                              <w:rPr>
                                <w:rFonts w:hint="eastAsia" w:ascii="黑体" w:hAnsi="黑体" w:eastAsia="黑体" w:cs="黑体"/>
                                <w:b w:val="0"/>
                                <w:bCs/>
                                <w:color w:val="auto"/>
                                <w:kern w:val="0"/>
                                <w:sz w:val="28"/>
                                <w:szCs w:val="28"/>
                                <w:highlight w:val="none"/>
                              </w:rPr>
                              <w:t>per unit product</w:t>
                            </w:r>
                            <w:r>
                              <w:rPr>
                                <w:rFonts w:hint="eastAsia" w:ascii="黑体" w:hAnsi="黑体" w:eastAsia="黑体" w:cs="黑体"/>
                                <w:b w:val="0"/>
                                <w:bCs/>
                                <w:color w:val="auto"/>
                                <w:kern w:val="0"/>
                                <w:sz w:val="28"/>
                                <w:szCs w:val="28"/>
                                <w:highlight w:val="none"/>
                                <w:lang w:val="en-US" w:eastAsia="zh-CN"/>
                              </w:rPr>
                              <w:t>ion</w:t>
                            </w:r>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 xml:space="preserve">polystyrene </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wps:txbx>
                      <wps:bodyPr upright="1"/>
                    </wps:wsp>
                  </a:graphicData>
                </a:graphic>
              </wp:anchor>
            </w:drawing>
          </mc:Choice>
          <mc:Fallback>
            <w:pict>
              <v:shape id="文本框 10" o:spid="_x0000_s1026" o:spt="202" type="#_x0000_t202" style="position:absolute;left:0pt;margin-left:-18.75pt;margin-top:224.9pt;height:190.55pt;width:492.8pt;z-index:251660288;mso-width-relative:page;mso-height-relative:page;" fillcolor="#FFFFFF" filled="t" stroked="f" coordsize="21600,21600" o:gfxdata="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AP94doAAAALAQAADwAAAAAAAAABACAAAAAiAAAAZHJzL2Rvd25yZXYu&#10;eG1sUEsBAhQAFAAAAAgAh07iQKb694HAAQAAeQMAAA4AAAAAAAAAAQAgAAAAKQEAAGRycy9lMm9E&#10;b2MueG1sUEsFBgAAAAAGAAYAWQEAAFsFAAAAAA==&#10;">
                <v:fill on="t" focussize="0,0"/>
                <v:stroke on="f"/>
                <v:imagedata o:title=""/>
                <o:lock v:ext="edit" aspectratio="f"/>
                <v:textbox>
                  <w:txbxContent>
                    <w:p w14:paraId="5C354917">
                      <w:pPr>
                        <w:pStyle w:val="23"/>
                        <w:spacing w:line="460" w:lineRule="exact"/>
                        <w:rPr>
                          <w:rFonts w:hint="default" w:eastAsia="黑体"/>
                          <w:b w:val="0"/>
                          <w:bCs/>
                          <w:color w:val="auto"/>
                          <w:sz w:val="52"/>
                          <w:szCs w:val="52"/>
                          <w:lang w:val="en-US" w:eastAsia="zh-CN"/>
                        </w:rPr>
                      </w:pPr>
                      <w:bookmarkStart w:id="22" w:name="_Hlk24468625"/>
                      <w:r>
                        <w:rPr>
                          <w:rFonts w:hint="eastAsia"/>
                          <w:b w:val="0"/>
                          <w:bCs/>
                          <w:color w:val="auto"/>
                          <w:sz w:val="52"/>
                          <w:szCs w:val="52"/>
                          <w:lang w:val="en-US" w:eastAsia="zh-CN"/>
                        </w:rPr>
                        <w:t>聚苯乙烯单位产品能耗和碳排放限额</w:t>
                      </w:r>
                    </w:p>
                    <w:bookmarkEnd w:id="22"/>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r>
                        <w:rPr>
                          <w:rFonts w:hint="eastAsia" w:ascii="黑体" w:hAnsi="黑体" w:eastAsia="黑体" w:cs="黑体"/>
                          <w:b w:val="0"/>
                          <w:bCs/>
                          <w:color w:val="auto"/>
                          <w:kern w:val="0"/>
                          <w:sz w:val="28"/>
                          <w:szCs w:val="28"/>
                          <w:highlight w:val="none"/>
                          <w:lang w:val="en-US" w:eastAsia="zh-CN"/>
                        </w:rPr>
                        <w:t xml:space="preserve">s </w:t>
                      </w:r>
                      <w:r>
                        <w:rPr>
                          <w:rFonts w:hint="eastAsia" w:ascii="黑体" w:hAnsi="黑体" w:eastAsia="黑体" w:cs="黑体"/>
                          <w:b w:val="0"/>
                          <w:bCs/>
                          <w:color w:val="auto"/>
                          <w:kern w:val="0"/>
                          <w:sz w:val="28"/>
                          <w:szCs w:val="28"/>
                          <w:highlight w:val="none"/>
                        </w:rPr>
                        <w:t>per unit product</w:t>
                      </w:r>
                      <w:r>
                        <w:rPr>
                          <w:rFonts w:hint="eastAsia" w:ascii="黑体" w:hAnsi="黑体" w:eastAsia="黑体" w:cs="黑体"/>
                          <w:b w:val="0"/>
                          <w:bCs/>
                          <w:color w:val="auto"/>
                          <w:kern w:val="0"/>
                          <w:sz w:val="28"/>
                          <w:szCs w:val="28"/>
                          <w:highlight w:val="none"/>
                          <w:lang w:val="en-US" w:eastAsia="zh-CN"/>
                        </w:rPr>
                        <w:t>ion</w:t>
                      </w:r>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 xml:space="preserve">polystyrene </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598170</wp:posOffset>
                </wp:positionH>
                <wp:positionV relativeFrom="paragraph">
                  <wp:posOffset>8283575</wp:posOffset>
                </wp:positionV>
                <wp:extent cx="4549775" cy="554355"/>
                <wp:effectExtent l="0" t="0" r="9525" b="4445"/>
                <wp:wrapNone/>
                <wp:docPr id="2" name="文本框 11"/>
                <wp:cNvGraphicFramePr/>
                <a:graphic xmlns:a="http://schemas.openxmlformats.org/drawingml/2006/main">
                  <a:graphicData uri="http://schemas.microsoft.com/office/word/2010/wordprocessingShape">
                    <wps:wsp>
                      <wps:cNvSpPr txBox="1"/>
                      <wps:spPr>
                        <a:xfrm>
                          <a:off x="0" y="0"/>
                          <a:ext cx="4549775" cy="554355"/>
                        </a:xfrm>
                        <a:prstGeom prst="rect">
                          <a:avLst/>
                        </a:prstGeom>
                        <a:solidFill>
                          <a:srgbClr val="FFFFFF"/>
                        </a:solidFill>
                        <a:ln>
                          <a:noFill/>
                        </a:ln>
                      </wps:spPr>
                      <wps:txb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0"/>
                                <w:rFonts w:hint="eastAsia" w:ascii="Times New Roman"/>
                              </w:rPr>
                              <w:t>发布</w:t>
                            </w:r>
                          </w:p>
                        </w:txbxContent>
                      </wps:txbx>
                      <wps:bodyPr upright="1"/>
                    </wps:wsp>
                  </a:graphicData>
                </a:graphic>
              </wp:anchor>
            </w:drawing>
          </mc:Choice>
          <mc:Fallback>
            <w:pict>
              <v:shape id="文本框 11" o:spid="_x0000_s1026" o:spt="202" type="#_x0000_t202" style="position:absolute;left:0pt;margin-left:47.1pt;margin-top:652.25pt;height:43.65pt;width:358.25pt;z-index:251660288;mso-width-relative:page;mso-height-relative:page;" fillcolor="#FFFFFF" filled="t" stroked="f" coordsize="21600,21600" o:gfxdata="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fxibnZAAAADAEAAA8AAAAAAAAAAQAgAAAAIgAAAGRycy9kb3ducmV2&#10;LnhtbFBLAQIUABQAAAAIAIdO4kA3pGtcwgEAAHgDAAAOAAAAAAAAAAEAIAAAACgBAABkcnMvZTJv&#10;RG9jLnhtbFBLBQYAAAAABgAGAFkBAABcBQAAAAA=&#10;">
                <v:fill on="t" focussize="0,0"/>
                <v:stroke on="f"/>
                <v:imagedata o:title=""/>
                <o:lock v:ext="edit" aspectratio="f"/>
                <v:textbo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0"/>
                          <w:rFonts w:hint="eastAsia" w:ascii="Times New Roman"/>
                        </w:rPr>
                        <w:t>发布</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-195580</wp:posOffset>
                </wp:positionH>
                <wp:positionV relativeFrom="paragraph">
                  <wp:posOffset>297815</wp:posOffset>
                </wp:positionV>
                <wp:extent cx="6258560" cy="807085"/>
                <wp:effectExtent l="0" t="0" r="2540" b="5715"/>
                <wp:wrapNone/>
                <wp:docPr id="3" name="文本框 8"/>
                <wp:cNvGraphicFramePr/>
                <a:graphic xmlns:a="http://schemas.openxmlformats.org/drawingml/2006/main">
                  <a:graphicData uri="http://schemas.microsoft.com/office/word/2010/wordprocessingShape">
                    <wps:wsp>
                      <wps:cNvSpPr txBox="1"/>
                      <wps:spPr>
                        <a:xfrm>
                          <a:off x="0" y="0"/>
                          <a:ext cx="6258560" cy="807085"/>
                        </a:xfrm>
                        <a:prstGeom prst="rect">
                          <a:avLst/>
                        </a:prstGeom>
                        <a:solidFill>
                          <a:srgbClr val="FFFFFF"/>
                        </a:solidFill>
                        <a:ln>
                          <a:noFill/>
                        </a:ln>
                      </wps:spPr>
                      <wps:txbx>
                        <w:txbxContent>
                          <w:p w14:paraId="3E60FBB9">
                            <w:pPr>
                              <w:pStyle w:val="35"/>
                              <w:tabs>
                                <w:tab w:val="left" w:pos="1050"/>
                              </w:tabs>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wps:txbx>
                      <wps:bodyPr upright="1"/>
                    </wps:wsp>
                  </a:graphicData>
                </a:graphic>
              </wp:anchor>
            </w:drawing>
          </mc:Choice>
          <mc:Fallback>
            <w:pict>
              <v:shape id="文本框 8" o:spid="_x0000_s1026" o:spt="202" type="#_x0000_t202" style="position:absolute;left:0pt;margin-left:-15.4pt;margin-top:23.45pt;height:63.55pt;width:492.8pt;z-index:251660288;mso-width-relative:page;mso-height-relative:page;" fillcolor="#FFFFFF" filled="t" stroked="f" coordsize="21600,21600" o:gfxdata="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DvAe1wAAAAoBAAAPAAAAAAAAAAEAIAAAACIAAABkcnMvZG93bnJldi54bWxQ&#10;SwECFAAUAAAACACHTuJAgUaKJb8BAAB3AwAADgAAAAAAAAABACAAAAAmAQAAZHJzL2Uyb0RvYy54&#10;bWxQSwUGAAAAAAYABgBZAQAAVwUAAAAA&#10;">
                <v:fill on="t" focussize="0,0"/>
                <v:stroke on="f"/>
                <v:imagedata o:title=""/>
                <o:lock v:ext="edit" aspectratio="f"/>
                <v:textbox>
                  <w:txbxContent>
                    <w:p w14:paraId="3E60FBB9">
                      <w:pPr>
                        <w:pStyle w:val="35"/>
                        <w:tabs>
                          <w:tab w:val="left" w:pos="1050"/>
                        </w:tabs>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8393430</wp:posOffset>
                </wp:positionV>
                <wp:extent cx="6120130" cy="0"/>
                <wp:effectExtent l="0" t="0" r="0" b="0"/>
                <wp:wrapNone/>
                <wp:docPr id="4" name="直线 1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7" o:spid="_x0000_s1026" o:spt="20" style="position:absolute;left:0pt;margin-left:-14.25pt;margin-top:660.9pt;height:0pt;width:481.9pt;z-index:251660288;mso-width-relative:page;mso-height-relative:page;" filled="f" stroked="t" coordsize="21600,21600" o:gfxdata="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MqtzjX&#10;AAAADQEAAA8AAAAAAAAAAQAgAAAAIgAAAGRycy9kb3ducmV2LnhtbFBLAQIUABQAAAAIAIdO4kBK&#10;2Xab6AEAANwDAAAOAAAAAAAAAAEAIAAAACYBAABkcnMvZTJvRG9jLnhtbFBLBQYAAAAABgAGAFkB&#10;AACABQAAAAA=&#10;">
                <v:fill on="f" focussize="0,0"/>
                <v:stroke color="#000000" joinstyle="round"/>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3863340</wp:posOffset>
                </wp:positionH>
                <wp:positionV relativeFrom="paragraph">
                  <wp:posOffset>1076325</wp:posOffset>
                </wp:positionV>
                <wp:extent cx="2270125" cy="400050"/>
                <wp:effectExtent l="0" t="0" r="3175" b="6350"/>
                <wp:wrapNone/>
                <wp:docPr id="5" name="文本框 9"/>
                <wp:cNvGraphicFramePr/>
                <a:graphic xmlns:a="http://schemas.openxmlformats.org/drawingml/2006/main">
                  <a:graphicData uri="http://schemas.microsoft.com/office/word/2010/wordprocessingShape">
                    <wps:wsp>
                      <wps:cNvSpPr txBox="1"/>
                      <wps:spPr>
                        <a:xfrm>
                          <a:off x="0" y="0"/>
                          <a:ext cx="2270125" cy="400050"/>
                        </a:xfrm>
                        <a:prstGeom prst="rect">
                          <a:avLst/>
                        </a:prstGeom>
                        <a:solidFill>
                          <a:srgbClr val="FFFFFF"/>
                        </a:solidFill>
                        <a:ln>
                          <a:noFill/>
                        </a:ln>
                      </wps:spPr>
                      <wps:txbx>
                        <w:txbxContent>
                          <w:p w14:paraId="31DB13D1">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XXXX</w:t>
                            </w:r>
                          </w:p>
                        </w:txbxContent>
                      </wps:txbx>
                      <wps:bodyPr upright="1"/>
                    </wps:wsp>
                  </a:graphicData>
                </a:graphic>
              </wp:anchor>
            </w:drawing>
          </mc:Choice>
          <mc:Fallback>
            <w:pict>
              <v:shape id="文本框 9" o:spid="_x0000_s1026" o:spt="202" type="#_x0000_t202" style="position:absolute;left:0pt;margin-left:304.2pt;margin-top:84.75pt;height:31.5pt;width:178.75pt;z-index:251660288;mso-width-relative:page;mso-height-relative:page;" fillcolor="#FFFFFF" filled="t" stroked="f" coordsize="21600,21600" o:gfxdata="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z5DhHZAAAACwEAAA8AAAAAAAAAAQAgAAAAIgAAAGRycy9kb3ducmV2&#10;LnhtbFBLAQIUABQAAAAIAIdO4kCIftXFwgEAAHcDAAAOAAAAAAAAAAEAIAAAACgBAABkcnMvZTJv&#10;RG9jLnhtbFBLBQYAAAAABgAGAFkBAABcBQAAAAA=&#10;">
                <v:fill on="t" focussize="0,0"/>
                <v:stroke on="f"/>
                <v:imagedata o:title=""/>
                <o:lock v:ext="edit" aspectratio="f"/>
                <v:textbox>
                  <w:txbxContent>
                    <w:p w14:paraId="31DB13D1">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XXXX</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1644650</wp:posOffset>
                </wp:positionV>
                <wp:extent cx="6120130" cy="0"/>
                <wp:effectExtent l="0" t="7620" r="1270" b="11430"/>
                <wp:wrapNone/>
                <wp:docPr id="6" name="直线 6"/>
                <wp:cNvGraphicFramePr/>
                <a:graphic xmlns:a="http://schemas.openxmlformats.org/drawingml/2006/main">
                  <a:graphicData uri="http://schemas.microsoft.com/office/word/2010/wordprocessingShape">
                    <wps:wsp>
                      <wps:cNvCnPr/>
                      <wps:spPr>
                        <a:xfrm>
                          <a:off x="0" y="0"/>
                          <a:ext cx="612013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6.75pt;margin-top:129.5pt;height:0pt;width:481.9pt;z-index:251660288;mso-width-relative:page;mso-height-relative:page;" filled="f" stroked="t" coordsize="21600,21600" o:gfxdata="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whHd&#10;2QAAAAsBAAAPAAAAAAAAAAEAIAAAACIAAABkcnMvZG93bnJldi54bWxQSwECFAAUAAAACACHTuJA&#10;waDHlOcBAADcAwAADgAAAAAAAAABACAAAAAoAQAAZHJzL2Uyb0RvYy54bWxQSwUGAAAAAAYABgBZ&#10;AQAAgQUAAAAA&#10;">
                <v:fill on="f" focussize="0,0"/>
                <v:stroke weight="1.25pt" color="#000000" joinstyle="round"/>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-390525</wp:posOffset>
                </wp:positionH>
                <wp:positionV relativeFrom="paragraph">
                  <wp:posOffset>7805420</wp:posOffset>
                </wp:positionV>
                <wp:extent cx="1669415" cy="474980"/>
                <wp:effectExtent l="0" t="0" r="6985" b="7620"/>
                <wp:wrapNone/>
                <wp:docPr id="7" name="文本框 4"/>
                <wp:cNvGraphicFramePr/>
                <a:graphic xmlns:a="http://schemas.openxmlformats.org/drawingml/2006/main">
                  <a:graphicData uri="http://schemas.microsoft.com/office/word/2010/wordprocessingShape">
                    <wps:wsp>
                      <wps:cNvSpPr txBox="1"/>
                      <wps:spPr>
                        <a:xfrm>
                          <a:off x="0" y="0"/>
                          <a:ext cx="1669415" cy="474980"/>
                        </a:xfrm>
                        <a:prstGeom prst="rect">
                          <a:avLst/>
                        </a:prstGeom>
                        <a:solidFill>
                          <a:srgbClr val="FFFFFF"/>
                        </a:solidFill>
                        <a:ln>
                          <a:noFill/>
                        </a:ln>
                      </wps:spPr>
                      <wps:txb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wps:txbx>
                      <wps:bodyPr upright="1"/>
                    </wps:wsp>
                  </a:graphicData>
                </a:graphic>
              </wp:anchor>
            </w:drawing>
          </mc:Choice>
          <mc:Fallback>
            <w:pict>
              <v:shape id="文本框 4" o:spid="_x0000_s1026" o:spt="202" type="#_x0000_t202" style="position:absolute;left:0pt;margin-left:-30.75pt;margin-top:614.6pt;height:37.4pt;width:131.45pt;z-index:251660288;mso-width-relative:page;mso-height-relative:page;" fillcolor="#FFFFFF" filled="t" stroked="f" coordsize="21600,21600" o:gfxdata="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bbRVXaAAAADQEAAA8AAAAAAAAAAQAgAAAAIgAAAGRycy9kb3du&#10;cmV2LnhtbFBLAQIUABQAAAAIAIdO4kB3F5WtxAEAAHcDAAAOAAAAAAAAAAEAIAAAACkBAABkcnMv&#10;ZTJvRG9jLnhtbFBLBQYAAAAABgAGAFkBAABfBQAAAAA=&#10;">
                <v:fill on="t" focussize="0,0"/>
                <v:stroke on="f"/>
                <v:imagedata o:title=""/>
                <o:lock v:ext="edit" aspectratio="f"/>
                <v:textbo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4408170</wp:posOffset>
                </wp:positionH>
                <wp:positionV relativeFrom="paragraph">
                  <wp:posOffset>7805420</wp:posOffset>
                </wp:positionV>
                <wp:extent cx="1530985" cy="474980"/>
                <wp:effectExtent l="0" t="0" r="5715" b="7620"/>
                <wp:wrapNone/>
                <wp:docPr id="8" name="文本框 2"/>
                <wp:cNvGraphicFramePr/>
                <a:graphic xmlns:a="http://schemas.openxmlformats.org/drawingml/2006/main">
                  <a:graphicData uri="http://schemas.microsoft.com/office/word/2010/wordprocessingShape">
                    <wps:wsp>
                      <wps:cNvSpPr txBox="1"/>
                      <wps:spPr>
                        <a:xfrm>
                          <a:off x="0" y="0"/>
                          <a:ext cx="1530985" cy="474980"/>
                        </a:xfrm>
                        <a:prstGeom prst="rect">
                          <a:avLst/>
                        </a:prstGeom>
                        <a:solidFill>
                          <a:srgbClr val="FFFFFF"/>
                        </a:solidFill>
                        <a:ln>
                          <a:noFill/>
                        </a:ln>
                      </wps:spPr>
                      <wps:txb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wps:txbx>
                      <wps:bodyPr upright="1"/>
                    </wps:wsp>
                  </a:graphicData>
                </a:graphic>
              </wp:anchor>
            </w:drawing>
          </mc:Choice>
          <mc:Fallback>
            <w:pict>
              <v:shape id="文本框 2" o:spid="_x0000_s1026" o:spt="202" type="#_x0000_t202" style="position:absolute;left:0pt;margin-left:347.1pt;margin-top:614.6pt;height:37.4pt;width:120.55pt;z-index:251660288;mso-width-relative:page;mso-height-relative:page;" fillcolor="#FFFFFF" filled="t" stroked="f" coordsize="21600,21600" o:gfxdata="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k9ip9oAAAANAQAADwAAAAAAAAABACAAAAAiAAAAZHJzL2Rvd25y&#10;ZXYueG1sUEsBAhQAFAAAAAgAh07iQPhpgtTDAQAAdwMAAA4AAAAAAAAAAQAgAAAAKQEAAGRycy9l&#10;Mm9Eb2MueG1sUEsFBgAAAAAGAAYAWQEAAF4FAAAAAA==&#10;">
                <v:fill on="t" focussize="0,0"/>
                <v:stroke on="f"/>
                <v:imagedata o:title=""/>
                <o:lock v:ext="edit" aspectratio="f"/>
                <v:textbo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v:textbox>
              </v:shape>
            </w:pict>
          </mc:Fallback>
        </mc:AlternateContent>
      </w:r>
    </w:p>
    <w:p w14:paraId="5A1E394F">
      <w:pPr>
        <w:widowControl/>
        <w:jc w:val="center"/>
        <w:outlineLvl w:val="0"/>
        <w:rPr>
          <w:rFonts w:hint="eastAsia" w:ascii="黑体" w:hAnsi="黑体" w:eastAsia="黑体" w:cs="黑体"/>
          <w:b w:val="0"/>
          <w:bCs/>
          <w:color w:val="auto"/>
          <w:sz w:val="32"/>
          <w:szCs w:val="52"/>
          <w:lang w:val="en-US" w:eastAsia="zh-CN"/>
        </w:rPr>
      </w:pPr>
    </w:p>
    <w:p w14:paraId="06662FE2">
      <w:pPr>
        <w:widowControl/>
        <w:jc w:val="center"/>
        <w:outlineLvl w:val="0"/>
        <w:rPr>
          <w:rFonts w:ascii="仿宋" w:hAnsi="仿宋" w:eastAsia="仿宋"/>
          <w:b/>
          <w:color w:val="auto"/>
          <w:kern w:val="0"/>
          <w:sz w:val="44"/>
          <w:szCs w:val="52"/>
        </w:rPr>
      </w:pPr>
      <w:bookmarkStart w:id="1" w:name="_Toc11669"/>
      <w:bookmarkStart w:id="2" w:name="_Toc31569"/>
      <w:r>
        <w:rPr>
          <w:rFonts w:hint="eastAsia" w:ascii="黑体" w:hAnsi="黑体" w:eastAsia="黑体" w:cs="黑体"/>
          <w:b w:val="0"/>
          <w:bCs/>
          <w:color w:val="auto"/>
          <w:sz w:val="32"/>
          <w:szCs w:val="52"/>
        </w:rPr>
        <w:t>前  言</w:t>
      </w:r>
      <w:bookmarkEnd w:id="1"/>
      <w:bookmarkEnd w:id="2"/>
    </w:p>
    <w:p w14:paraId="6D1440A2">
      <w:pPr>
        <w:keepNext w:val="0"/>
        <w:keepLines w:val="0"/>
        <w:pageBreakBefore w:val="0"/>
        <w:widowControl w:val="0"/>
        <w:kinsoku/>
        <w:wordWrap/>
        <w:overflowPunct/>
        <w:topLinePunct w:val="0"/>
        <w:autoSpaceDE/>
        <w:autoSpaceDN/>
        <w:bidi w:val="0"/>
        <w:adjustRightInd/>
        <w:snapToGrid/>
        <w:spacing w:line="680" w:lineRule="exact"/>
        <w:jc w:val="left"/>
        <w:textAlignment w:val="auto"/>
        <w:rPr>
          <w:color w:val="auto"/>
          <w:sz w:val="32"/>
          <w:szCs w:val="32"/>
        </w:rPr>
      </w:pPr>
    </w:p>
    <w:p w14:paraId="05BE6068">
      <w:pPr>
        <w:pStyle w:val="27"/>
        <w:rPr>
          <w:color w:val="auto"/>
        </w:rPr>
      </w:pPr>
      <w:r>
        <w:rPr>
          <w:rFonts w:hint="eastAsia"/>
          <w:color w:val="auto"/>
          <w:lang w:val="en-US" w:eastAsia="zh-CN"/>
        </w:rPr>
        <w:t>本文件</w:t>
      </w:r>
      <w:r>
        <w:rPr>
          <w:rFonts w:hint="eastAsia"/>
          <w:color w:val="auto"/>
        </w:rPr>
        <w:t>按照</w:t>
      </w:r>
      <w:r>
        <w:rPr>
          <w:color w:val="auto"/>
        </w:rPr>
        <w:t>GB/T 1.1-20</w:t>
      </w:r>
      <w:r>
        <w:rPr>
          <w:rFonts w:hint="eastAsia"/>
          <w:color w:val="auto"/>
        </w:rPr>
        <w:t>20《标准化工作导则 第1部分：标准化文件的结构和起草规则》</w:t>
      </w:r>
      <w:r>
        <w:rPr>
          <w:rFonts w:hint="eastAsia"/>
          <w:color w:val="auto"/>
          <w:szCs w:val="21"/>
          <w:lang w:val="en-US" w:eastAsia="zh-CN"/>
        </w:rPr>
        <w:t>起草</w:t>
      </w:r>
      <w:r>
        <w:rPr>
          <w:rFonts w:hint="eastAsia"/>
          <w:color w:val="auto"/>
        </w:rPr>
        <w:t>。</w:t>
      </w:r>
    </w:p>
    <w:p w14:paraId="72AD58A7">
      <w:pPr>
        <w:ind w:firstLine="420" w:firstLineChars="200"/>
        <w:jc w:val="left"/>
        <w:rPr>
          <w:color w:val="auto"/>
          <w:szCs w:val="21"/>
        </w:rPr>
      </w:pPr>
      <w:r>
        <w:rPr>
          <w:rFonts w:hint="eastAsia"/>
          <w:color w:val="auto"/>
          <w:szCs w:val="21"/>
        </w:rPr>
        <w:t>请注意本文件的某些内容可能涉及专利。本文件的发布机构不承担识别专利的责任。</w:t>
      </w:r>
    </w:p>
    <w:p w14:paraId="0E438E8C">
      <w:pPr>
        <w:ind w:firstLine="420" w:firstLineChars="200"/>
        <w:jc w:val="left"/>
        <w:rPr>
          <w:color w:val="auto"/>
          <w:szCs w:val="21"/>
        </w:rPr>
      </w:pPr>
      <w:r>
        <w:rPr>
          <w:rFonts w:hint="eastAsia"/>
          <w:color w:val="auto"/>
          <w:szCs w:val="21"/>
        </w:rPr>
        <w:t>本文件由</w:t>
      </w:r>
      <w:r>
        <w:rPr>
          <w:rFonts w:hint="eastAsia"/>
          <w:color w:val="auto"/>
          <w:szCs w:val="21"/>
          <w:lang w:val="en-US" w:eastAsia="zh-CN"/>
        </w:rPr>
        <w:t>广东省能源局</w:t>
      </w:r>
      <w:r>
        <w:rPr>
          <w:rFonts w:hint="eastAsia"/>
          <w:color w:val="auto"/>
          <w:szCs w:val="21"/>
        </w:rPr>
        <w:t>提出。</w:t>
      </w:r>
    </w:p>
    <w:p w14:paraId="38D56470">
      <w:pPr>
        <w:ind w:firstLine="420" w:firstLineChars="200"/>
        <w:jc w:val="left"/>
        <w:rPr>
          <w:color w:val="auto"/>
          <w:szCs w:val="21"/>
        </w:rPr>
      </w:pPr>
      <w:r>
        <w:rPr>
          <w:color w:val="auto"/>
          <w:szCs w:val="21"/>
        </w:rPr>
        <w:t>本</w:t>
      </w:r>
      <w:r>
        <w:rPr>
          <w:rFonts w:hint="eastAsia"/>
          <w:color w:val="auto"/>
          <w:szCs w:val="21"/>
        </w:rPr>
        <w:t>文件</w:t>
      </w:r>
      <w:r>
        <w:rPr>
          <w:color w:val="auto"/>
          <w:szCs w:val="21"/>
        </w:rPr>
        <w:t>由</w:t>
      </w:r>
      <w:r>
        <w:rPr>
          <w:rFonts w:hint="eastAsia"/>
          <w:color w:val="auto"/>
          <w:szCs w:val="21"/>
        </w:rPr>
        <w:t>广东省石油和化学工业协会</w:t>
      </w:r>
      <w:r>
        <w:rPr>
          <w:color w:val="auto"/>
          <w:szCs w:val="21"/>
        </w:rPr>
        <w:t>归口。</w:t>
      </w:r>
    </w:p>
    <w:p w14:paraId="603802F6">
      <w:pPr>
        <w:ind w:left="105" w:leftChars="50" w:firstLine="315" w:firstLineChars="150"/>
        <w:jc w:val="left"/>
        <w:rPr>
          <w:color w:val="auto"/>
          <w:szCs w:val="21"/>
          <w:highlight w:val="none"/>
        </w:rPr>
      </w:pPr>
      <w:r>
        <w:rPr>
          <w:color w:val="auto"/>
          <w:szCs w:val="21"/>
        </w:rPr>
        <w:t>本</w:t>
      </w:r>
      <w:r>
        <w:rPr>
          <w:rFonts w:hint="eastAsia"/>
          <w:color w:val="auto"/>
          <w:szCs w:val="21"/>
        </w:rPr>
        <w:t>文件</w:t>
      </w:r>
      <w:r>
        <w:rPr>
          <w:color w:val="auto"/>
          <w:szCs w:val="21"/>
        </w:rPr>
        <w:t>起草单位：</w:t>
      </w:r>
      <w:r>
        <w:rPr>
          <w:rFonts w:hint="eastAsia"/>
          <w:color w:val="auto"/>
          <w:szCs w:val="21"/>
          <w:highlight w:val="none"/>
          <w:lang w:val="en-US" w:eastAsia="zh-CN"/>
        </w:rPr>
        <w:t>XXXX</w:t>
      </w:r>
    </w:p>
    <w:p w14:paraId="12F0D65C">
      <w:pPr>
        <w:ind w:left="105" w:leftChars="50" w:firstLine="315" w:firstLineChars="150"/>
        <w:jc w:val="left"/>
        <w:rPr>
          <w:rFonts w:hint="eastAsia"/>
          <w:color w:val="auto"/>
          <w:szCs w:val="21"/>
        </w:rPr>
      </w:pPr>
      <w:r>
        <w:rPr>
          <w:rFonts w:hint="eastAsia"/>
          <w:color w:val="auto"/>
          <w:szCs w:val="21"/>
        </w:rPr>
        <w:t>本文件主要起草人：</w:t>
      </w:r>
      <w:r>
        <w:rPr>
          <w:rFonts w:hint="eastAsia"/>
          <w:color w:val="auto"/>
          <w:szCs w:val="21"/>
          <w:highlight w:val="none"/>
          <w:lang w:val="en-US" w:eastAsia="zh-CN"/>
        </w:rPr>
        <w:t>XXXX</w:t>
      </w:r>
    </w:p>
    <w:p w14:paraId="1EB5D1E1">
      <w:pPr>
        <w:ind w:left="105" w:leftChars="50" w:firstLine="315" w:firstLineChars="150"/>
        <w:jc w:val="left"/>
        <w:rPr>
          <w:color w:val="auto"/>
          <w:szCs w:val="21"/>
        </w:rPr>
      </w:pPr>
      <w:r>
        <w:rPr>
          <w:rFonts w:hint="eastAsia"/>
          <w:color w:val="auto"/>
          <w:szCs w:val="21"/>
        </w:rPr>
        <w:t>本文件主要审查人：</w:t>
      </w:r>
      <w:r>
        <w:rPr>
          <w:rFonts w:hint="eastAsia"/>
          <w:color w:val="auto"/>
          <w:szCs w:val="21"/>
          <w:highlight w:val="none"/>
          <w:lang w:val="en-US" w:eastAsia="zh-CN"/>
        </w:rPr>
        <w:t>XXXX</w:t>
      </w:r>
      <w:r>
        <w:rPr>
          <w:rFonts w:hint="eastAsia"/>
          <w:color w:val="auto"/>
          <w:szCs w:val="21"/>
        </w:rPr>
        <w:t>。</w:t>
      </w:r>
    </w:p>
    <w:p w14:paraId="07957891">
      <w:pPr>
        <w:pStyle w:val="27"/>
        <w:rPr>
          <w:rFonts w:hint="eastAsia"/>
          <w:color w:val="auto"/>
          <w:lang w:val="en-US" w:eastAsia="zh-CN"/>
        </w:rPr>
      </w:pPr>
    </w:p>
    <w:p w14:paraId="2A04C961">
      <w:pPr>
        <w:pStyle w:val="27"/>
        <w:rPr>
          <w:rFonts w:hint="eastAsia"/>
          <w:color w:val="auto"/>
          <w:lang w:val="en-US" w:eastAsia="zh-CN"/>
        </w:rPr>
      </w:pPr>
    </w:p>
    <w:p w14:paraId="74441D76">
      <w:pPr>
        <w:pStyle w:val="27"/>
        <w:ind w:left="105" w:leftChars="50" w:firstLine="315" w:firstLineChars="150"/>
        <w:rPr>
          <w:rFonts w:hint="eastAsia"/>
          <w:color w:val="auto"/>
        </w:rPr>
        <w:sectPr>
          <w:footerReference r:id="rId8" w:type="default"/>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docGrid w:type="lines" w:linePitch="312" w:charSpace="0"/>
        </w:sectPr>
      </w:pPr>
    </w:p>
    <w:p w14:paraId="6DC2CD16">
      <w:pPr>
        <w:pStyle w:val="23"/>
        <w:spacing w:before="0" w:line="680" w:lineRule="exact"/>
        <w:rPr>
          <w:color w:val="auto"/>
          <w:szCs w:val="32"/>
        </w:rPr>
      </w:pPr>
    </w:p>
    <w:p w14:paraId="528F263B">
      <w:pPr>
        <w:pStyle w:val="23"/>
        <w:spacing w:before="0" w:line="680" w:lineRule="exact"/>
        <w:outlineLvl w:val="0"/>
        <w:rPr>
          <w:rFonts w:hint="eastAsia" w:ascii="仿宋" w:hAnsi="仿宋" w:eastAsia="仿宋"/>
          <w:b/>
          <w:bCs/>
          <w:color w:val="auto"/>
          <w:sz w:val="32"/>
          <w:szCs w:val="32"/>
          <w:lang w:eastAsia="zh-CN"/>
        </w:rPr>
      </w:pPr>
      <w:r>
        <w:rPr>
          <w:rFonts w:hint="eastAsia" w:cs="Times New Roman"/>
          <w:b w:val="0"/>
          <w:bCs/>
          <w:color w:val="auto"/>
          <w:sz w:val="32"/>
          <w:szCs w:val="32"/>
          <w:lang w:val="en-US" w:eastAsia="zh-CN"/>
        </w:rPr>
        <w:t>聚苯乙烯</w:t>
      </w:r>
      <w:r>
        <w:rPr>
          <w:rFonts w:hint="eastAsia" w:ascii="Times New Roman" w:hAnsi="Times New Roman" w:cs="Times New Roman"/>
          <w:b w:val="0"/>
          <w:bCs/>
          <w:color w:val="auto"/>
          <w:sz w:val="32"/>
          <w:szCs w:val="32"/>
          <w:lang w:val="en-US" w:eastAsia="zh-CN"/>
        </w:rPr>
        <w:t>单位产品能耗和碳排放限额</w:t>
      </w:r>
    </w:p>
    <w:p w14:paraId="728999D2">
      <w:pPr>
        <w:pStyle w:val="39"/>
        <w:numPr>
          <w:ilvl w:val="0"/>
          <w:numId w:val="0"/>
        </w:numPr>
        <w:spacing w:before="312" w:after="312"/>
        <w:outlineLvl w:val="0"/>
        <w:rPr>
          <w:rFonts w:hint="eastAsia" w:eastAsia="黑体"/>
          <w:color w:val="auto"/>
          <w:lang w:eastAsia="zh-CN"/>
        </w:rPr>
      </w:pPr>
      <w:bookmarkStart w:id="3" w:name="_Toc27581"/>
      <w:r>
        <w:rPr>
          <w:rFonts w:hint="eastAsia"/>
          <w:color w:val="auto"/>
        </w:rPr>
        <w:t xml:space="preserve">1 </w:t>
      </w:r>
      <w:r>
        <w:rPr>
          <w:rFonts w:hint="eastAsia"/>
          <w:color w:val="auto"/>
          <w:lang w:val="en-US" w:eastAsia="zh-CN"/>
        </w:rPr>
        <w:t xml:space="preserve"> </w:t>
      </w:r>
      <w:r>
        <w:rPr>
          <w:color w:val="auto"/>
        </w:rPr>
        <w:t>范围</w:t>
      </w:r>
      <w:bookmarkEnd w:id="3"/>
    </w:p>
    <w:p w14:paraId="56A21D1E">
      <w:pPr>
        <w:ind w:firstLine="420" w:firstLineChars="200"/>
        <w:jc w:val="left"/>
        <w:rPr>
          <w:rFonts w:hint="eastAsia"/>
          <w:color w:val="auto"/>
          <w:szCs w:val="21"/>
          <w:lang w:val="en-US" w:eastAsia="zh-CN"/>
        </w:rPr>
      </w:pPr>
      <w:r>
        <w:rPr>
          <w:color w:val="auto"/>
          <w:szCs w:val="21"/>
        </w:rPr>
        <w:t>本</w:t>
      </w:r>
      <w:r>
        <w:rPr>
          <w:rFonts w:hint="eastAsia"/>
          <w:color w:val="auto"/>
          <w:szCs w:val="21"/>
        </w:rPr>
        <w:t>文件</w:t>
      </w:r>
      <w:r>
        <w:rPr>
          <w:color w:val="auto"/>
          <w:szCs w:val="21"/>
        </w:rPr>
        <w:t>规定了</w:t>
      </w:r>
      <w:r>
        <w:rPr>
          <w:rFonts w:hint="eastAsia"/>
          <w:color w:val="auto"/>
          <w:szCs w:val="21"/>
          <w:lang w:val="en-US" w:eastAsia="zh-CN"/>
        </w:rPr>
        <w:t>聚苯乙烯单位产品能源消耗和二氧化碳排放的限额等级、指标要求、统计范围、计算方法。</w:t>
      </w:r>
    </w:p>
    <w:p w14:paraId="0CEB9AED">
      <w:pPr>
        <w:ind w:firstLine="420" w:firstLineChars="200"/>
        <w:jc w:val="left"/>
        <w:rPr>
          <w:rFonts w:hint="eastAsia"/>
          <w:color w:val="auto"/>
          <w:szCs w:val="21"/>
          <w:lang w:val="en-US" w:eastAsia="zh-CN"/>
        </w:rPr>
      </w:pPr>
      <w:r>
        <w:rPr>
          <w:color w:val="auto"/>
          <w:szCs w:val="21"/>
        </w:rPr>
        <w:t>本</w:t>
      </w:r>
      <w:r>
        <w:rPr>
          <w:rFonts w:hint="eastAsia"/>
          <w:color w:val="auto"/>
          <w:szCs w:val="21"/>
        </w:rPr>
        <w:t>文件</w:t>
      </w:r>
      <w:r>
        <w:rPr>
          <w:color w:val="auto"/>
          <w:szCs w:val="21"/>
        </w:rPr>
        <w:t>适用于</w:t>
      </w:r>
      <w:r>
        <w:rPr>
          <w:rFonts w:hint="eastAsia"/>
          <w:color w:val="auto"/>
          <w:szCs w:val="21"/>
          <w:lang w:val="en-US" w:eastAsia="zh-CN"/>
        </w:rPr>
        <w:t>以下现有、新建或改扩建生产企业单位产品能耗、单位产品二氧化碳排放的计算和评价：</w:t>
      </w:r>
    </w:p>
    <w:p w14:paraId="7986D696">
      <w:pPr>
        <w:ind w:firstLine="420" w:firstLineChars="200"/>
        <w:jc w:val="left"/>
        <w:rPr>
          <w:rFonts w:hint="eastAsia"/>
          <w:color w:val="auto"/>
          <w:szCs w:val="21"/>
          <w:lang w:val="en-US" w:eastAsia="zh-CN"/>
        </w:rPr>
      </w:pPr>
      <w:r>
        <w:rPr>
          <w:rFonts w:hint="eastAsia"/>
          <w:color w:val="auto"/>
          <w:szCs w:val="21"/>
          <w:lang w:val="en-US" w:eastAsia="zh-CN"/>
        </w:rPr>
        <w:t>a）以苯乙烯为原料，采用本体聚合法生产聚苯乙烯产品，包括通用级聚苯乙烯（GPPS）和高抗冲聚苯乙烯（HIPS）的企业；</w:t>
      </w:r>
    </w:p>
    <w:p w14:paraId="01F89132">
      <w:pPr>
        <w:ind w:firstLine="420" w:firstLineChars="200"/>
        <w:jc w:val="left"/>
        <w:rPr>
          <w:rFonts w:hint="default"/>
          <w:color w:val="auto"/>
          <w:szCs w:val="21"/>
          <w:lang w:val="en-US" w:eastAsia="zh-CN"/>
        </w:rPr>
      </w:pPr>
      <w:r>
        <w:rPr>
          <w:rFonts w:hint="eastAsia"/>
          <w:color w:val="auto"/>
          <w:szCs w:val="21"/>
          <w:lang w:val="en-US" w:eastAsia="zh-CN"/>
        </w:rPr>
        <w:t>b）以苯乙烯为原料，采用悬浮聚合一步法生产可发性聚苯乙烯（EPS）产品的企业。</w:t>
      </w:r>
    </w:p>
    <w:p w14:paraId="63B9F457">
      <w:pPr>
        <w:pStyle w:val="39"/>
        <w:numPr>
          <w:ilvl w:val="0"/>
          <w:numId w:val="0"/>
        </w:numPr>
        <w:spacing w:before="312" w:after="312"/>
        <w:outlineLvl w:val="0"/>
        <w:rPr>
          <w:color w:val="auto"/>
        </w:rPr>
      </w:pPr>
      <w:bookmarkStart w:id="4" w:name="_Toc17670"/>
      <w:r>
        <w:rPr>
          <w:rFonts w:hint="eastAsia"/>
          <w:color w:val="auto"/>
        </w:rPr>
        <w:t xml:space="preserve">2 </w:t>
      </w:r>
      <w:r>
        <w:rPr>
          <w:rFonts w:hint="eastAsia"/>
          <w:color w:val="auto"/>
          <w:lang w:val="en-US" w:eastAsia="zh-CN"/>
        </w:rPr>
        <w:t xml:space="preserve"> </w:t>
      </w:r>
      <w:r>
        <w:rPr>
          <w:rFonts w:hint="eastAsia"/>
          <w:color w:val="auto"/>
        </w:rPr>
        <w:t>规范性</w:t>
      </w:r>
      <w:r>
        <w:rPr>
          <w:color w:val="auto"/>
        </w:rPr>
        <w:t>引用文件</w:t>
      </w:r>
      <w:bookmarkEnd w:id="4"/>
    </w:p>
    <w:p w14:paraId="685EBD3D">
      <w:pPr>
        <w:ind w:firstLine="420" w:firstLineChars="200"/>
        <w:jc w:val="left"/>
        <w:rPr>
          <w:rFonts w:hint="eastAsia"/>
          <w:color w:val="auto"/>
          <w:szCs w:val="21"/>
          <w:lang w:val="en-US" w:eastAsia="zh-CN"/>
        </w:rPr>
      </w:pPr>
      <w:r>
        <w:rPr>
          <w:rFonts w:hint="eastAsia"/>
          <w:color w:val="auto"/>
          <w:szCs w:val="21"/>
          <w:lang w:val="en-US" w:eastAsia="zh-CN"/>
        </w:rPr>
        <w:t>下列文件对于本文件的应用是必不可少的。凡是注日期的引用文件，仅注日期的版本适用于本文件。凡是不注日期的引用文件，其最新版本（包括所有的修改单）适用于本文件。</w:t>
      </w:r>
    </w:p>
    <w:p w14:paraId="75E22DBD">
      <w:pPr>
        <w:ind w:firstLine="420" w:firstLineChars="200"/>
        <w:jc w:val="left"/>
        <w:rPr>
          <w:rFonts w:hint="eastAsia"/>
          <w:color w:val="auto"/>
          <w:szCs w:val="21"/>
          <w:lang w:val="en-US" w:eastAsia="zh-CN"/>
        </w:rPr>
      </w:pPr>
      <w:r>
        <w:rPr>
          <w:rFonts w:hint="eastAsia"/>
          <w:color w:val="auto"/>
          <w:szCs w:val="21"/>
          <w:lang w:val="en-US" w:eastAsia="zh-CN"/>
        </w:rPr>
        <w:t>GB/T 476  ‌煤中碳和氢的测定方法</w:t>
      </w:r>
    </w:p>
    <w:p w14:paraId="6D32414A">
      <w:pPr>
        <w:pStyle w:val="3"/>
        <w:ind w:firstLine="420" w:firstLineChars="200"/>
        <w:rPr>
          <w:rFonts w:hint="eastAsia"/>
          <w:color w:val="auto"/>
        </w:rPr>
      </w:pPr>
      <w:r>
        <w:rPr>
          <w:rFonts w:hint="eastAsia"/>
          <w:color w:val="auto"/>
        </w:rPr>
        <w:t>GB/T 2589  综合能耗计算通则</w:t>
      </w:r>
    </w:p>
    <w:p w14:paraId="62E3D8F4">
      <w:pPr>
        <w:pStyle w:val="3"/>
        <w:ind w:firstLine="420" w:firstLineChars="200"/>
        <w:rPr>
          <w:rFonts w:hint="eastAsia"/>
          <w:color w:val="auto"/>
          <w:lang w:val="en-US" w:eastAsia="zh-CN"/>
        </w:rPr>
      </w:pPr>
      <w:r>
        <w:rPr>
          <w:rFonts w:hint="eastAsia"/>
          <w:color w:val="auto"/>
          <w:lang w:val="en-US" w:eastAsia="zh-CN"/>
        </w:rPr>
        <w:t xml:space="preserve">GB/T 8984  </w:t>
      </w:r>
      <w:r>
        <w:rPr>
          <w:rFonts w:hint="eastAsia"/>
          <w:color w:val="auto"/>
          <w:lang w:val="en-US" w:eastAsia="zh-CN"/>
        </w:rPr>
        <w:fldChar w:fldCharType="begin"/>
      </w:r>
      <w:r>
        <w:rPr>
          <w:rFonts w:hint="eastAsia"/>
          <w:color w:val="auto"/>
          <w:lang w:val="en-US" w:eastAsia="zh-CN"/>
        </w:rPr>
        <w:instrText xml:space="preserve"> HYPERLINK "https://std.samr.gov.cn/gb/search/gbDetailed?id=3DBA213286300D16E06397BE0A0A8119" \t "https://std.samr.gov.cn/search/stdPage?q=GB/_blank" </w:instrText>
      </w:r>
      <w:r>
        <w:rPr>
          <w:rFonts w:hint="eastAsia"/>
          <w:color w:val="auto"/>
          <w:lang w:val="en-US" w:eastAsia="zh-CN"/>
        </w:rPr>
        <w:fldChar w:fldCharType="separate"/>
      </w:r>
      <w:r>
        <w:rPr>
          <w:rFonts w:hint="eastAsia"/>
          <w:color w:val="auto"/>
          <w:lang w:val="en-US" w:eastAsia="zh-CN"/>
        </w:rPr>
        <w:t>气体分析 气体中微量一氧化碳、二氧化碳和碳氢化合物含量的测定 火焰离子化气相色谱法</w:t>
      </w:r>
      <w:r>
        <w:rPr>
          <w:rFonts w:hint="eastAsia"/>
          <w:color w:val="auto"/>
          <w:lang w:val="en-US" w:eastAsia="zh-CN"/>
        </w:rPr>
        <w:fldChar w:fldCharType="end"/>
      </w:r>
    </w:p>
    <w:p w14:paraId="42D26431">
      <w:pPr>
        <w:pStyle w:val="3"/>
        <w:ind w:firstLine="420" w:firstLineChars="200"/>
        <w:rPr>
          <w:rFonts w:hint="eastAsia"/>
          <w:color w:val="auto"/>
        </w:rPr>
      </w:pPr>
      <w:r>
        <w:rPr>
          <w:rFonts w:hint="eastAsia"/>
          <w:color w:val="auto"/>
        </w:rPr>
        <w:t>‌</w:t>
      </w:r>
      <w:r>
        <w:rPr>
          <w:rFonts w:hint="eastAsia"/>
          <w:color w:val="auto"/>
          <w:lang w:eastAsia="zh-CN"/>
        </w:rPr>
        <w:t>GB/T</w:t>
      </w:r>
      <w:r>
        <w:rPr>
          <w:rFonts w:hint="eastAsia"/>
          <w:color w:val="auto"/>
        </w:rPr>
        <w:t xml:space="preserve"> 12671</w:t>
      </w:r>
      <w:r>
        <w:rPr>
          <w:rFonts w:hint="eastAsia"/>
          <w:color w:val="auto"/>
          <w:lang w:val="en-US" w:eastAsia="zh-CN"/>
        </w:rPr>
        <w:t xml:space="preserve">  </w:t>
      </w:r>
      <w:r>
        <w:rPr>
          <w:rFonts w:hint="eastAsia"/>
          <w:color w:val="auto"/>
        </w:rPr>
        <w:t>聚苯乙烯（PS）树脂</w:t>
      </w:r>
    </w:p>
    <w:p w14:paraId="56F494E9">
      <w:pPr>
        <w:pStyle w:val="3"/>
        <w:ind w:firstLine="420" w:firstLineChars="200"/>
        <w:rPr>
          <w:rFonts w:hint="eastAsia"/>
          <w:color w:val="auto"/>
        </w:rPr>
      </w:pPr>
      <w:r>
        <w:rPr>
          <w:rFonts w:hint="eastAsia"/>
          <w:color w:val="auto"/>
        </w:rPr>
        <w:t>GB/T 12723</w:t>
      </w:r>
      <w:r>
        <w:rPr>
          <w:rFonts w:hint="eastAsia"/>
          <w:color w:val="auto"/>
          <w:lang w:val="en-US" w:eastAsia="zh-CN"/>
        </w:rPr>
        <w:t xml:space="preserve">  </w:t>
      </w:r>
      <w:r>
        <w:rPr>
          <w:rFonts w:hint="eastAsia"/>
          <w:color w:val="auto"/>
        </w:rPr>
        <w:t>单位产品能源消耗限额编制通则</w:t>
      </w:r>
    </w:p>
    <w:p w14:paraId="4472095D">
      <w:pPr>
        <w:pStyle w:val="3"/>
        <w:ind w:firstLine="420" w:firstLineChars="200"/>
        <w:rPr>
          <w:rFonts w:hint="eastAsia"/>
          <w:color w:val="auto"/>
        </w:rPr>
      </w:pPr>
      <w:r>
        <w:rPr>
          <w:rFonts w:hint="default"/>
          <w:color w:val="auto"/>
          <w:lang w:val="en-US" w:eastAsia="zh-CN"/>
        </w:rPr>
        <w:t>GB/T 13610</w:t>
      </w:r>
      <w:r>
        <w:rPr>
          <w:rFonts w:hint="eastAsia"/>
          <w:color w:val="auto"/>
          <w:lang w:val="en-US" w:eastAsia="zh-CN"/>
        </w:rPr>
        <w:t xml:space="preserve">  </w:t>
      </w:r>
      <w:r>
        <w:rPr>
          <w:rFonts w:hint="eastAsia"/>
          <w:color w:val="auto"/>
          <w:lang w:val="en-US" w:eastAsia="zh-CN"/>
        </w:rPr>
        <w:fldChar w:fldCharType="begin"/>
      </w:r>
      <w:r>
        <w:rPr>
          <w:rFonts w:hint="eastAsia"/>
          <w:color w:val="auto"/>
          <w:lang w:val="en-US" w:eastAsia="zh-CN"/>
        </w:rPr>
        <w:instrText xml:space="preserve"> HYPERLINK "https://std.samr.gov.cn/gb/search/gbDetailed?id=B13990C15C125DDAE05397BE0A0A0D35" \t "https://std.samr.gov.cn/search/stdPage?q=GB/_blank" </w:instrText>
      </w:r>
      <w:r>
        <w:rPr>
          <w:rFonts w:hint="eastAsia"/>
          <w:color w:val="auto"/>
          <w:lang w:val="en-US" w:eastAsia="zh-CN"/>
        </w:rPr>
        <w:fldChar w:fldCharType="separate"/>
      </w:r>
      <w:r>
        <w:rPr>
          <w:rFonts w:hint="eastAsia"/>
          <w:color w:val="auto"/>
          <w:lang w:val="en-US" w:eastAsia="zh-CN"/>
        </w:rPr>
        <w:t>天然气的组成分析 气相色谱法</w:t>
      </w:r>
      <w:r>
        <w:rPr>
          <w:rFonts w:hint="eastAsia"/>
          <w:color w:val="auto"/>
          <w:lang w:val="en-US" w:eastAsia="zh-CN"/>
        </w:rPr>
        <w:fldChar w:fldCharType="end"/>
      </w:r>
    </w:p>
    <w:p w14:paraId="6ACA0F5B">
      <w:pPr>
        <w:pStyle w:val="3"/>
        <w:ind w:firstLine="420" w:firstLineChars="200"/>
        <w:rPr>
          <w:rFonts w:hint="eastAsia"/>
          <w:color w:val="auto"/>
        </w:rPr>
      </w:pPr>
      <w:r>
        <w:rPr>
          <w:rFonts w:hint="eastAsia"/>
          <w:color w:val="auto"/>
        </w:rPr>
        <w:t>GB/T 32150</w:t>
      </w:r>
      <w:r>
        <w:rPr>
          <w:rFonts w:hint="eastAsia"/>
          <w:color w:val="auto"/>
          <w:lang w:eastAsia="zh-CN"/>
        </w:rPr>
        <w:t>—</w:t>
      </w:r>
      <w:r>
        <w:rPr>
          <w:rFonts w:hint="eastAsia"/>
          <w:color w:val="auto"/>
          <w:lang w:val="en-US" w:eastAsia="zh-CN"/>
        </w:rPr>
        <w:t xml:space="preserve">2025  </w:t>
      </w:r>
      <w:r>
        <w:rPr>
          <w:rFonts w:hint="eastAsia"/>
          <w:color w:val="auto"/>
        </w:rPr>
        <w:t>工业企业温室气体排放核算和报告通则</w:t>
      </w:r>
    </w:p>
    <w:p w14:paraId="695CE2D4">
      <w:pPr>
        <w:pStyle w:val="3"/>
        <w:ind w:firstLine="420" w:firstLineChars="200"/>
        <w:rPr>
          <w:rFonts w:hint="eastAsia"/>
          <w:color w:val="auto"/>
          <w:lang w:val="en-US" w:eastAsia="zh-CN"/>
        </w:rPr>
      </w:pPr>
      <w:r>
        <w:rPr>
          <w:rFonts w:hint="eastAsia"/>
          <w:color w:val="auto"/>
        </w:rPr>
        <w:t>GB/T 32151.10</w:t>
      </w:r>
      <w:r>
        <w:rPr>
          <w:rFonts w:hint="eastAsia"/>
          <w:color w:val="auto"/>
          <w:lang w:eastAsia="zh-CN"/>
        </w:rPr>
        <w:t>—</w:t>
      </w:r>
      <w:r>
        <w:rPr>
          <w:rFonts w:hint="eastAsia"/>
          <w:color w:val="auto"/>
          <w:lang w:val="en-US" w:eastAsia="zh-CN"/>
        </w:rPr>
        <w:t>2023  碳排放核算与报告要求第10部分：化工生产企业</w:t>
      </w:r>
    </w:p>
    <w:p w14:paraId="4AD2B7B5">
      <w:pPr>
        <w:pStyle w:val="3"/>
        <w:ind w:firstLine="420" w:firstLineChars="200"/>
        <w:rPr>
          <w:rFonts w:hint="eastAsia"/>
          <w:color w:val="auto"/>
          <w:lang w:eastAsia="zh-CN"/>
        </w:rPr>
      </w:pPr>
      <w:r>
        <w:rPr>
          <w:rFonts w:hint="eastAsia"/>
          <w:color w:val="auto"/>
          <w:lang w:eastAsia="zh-CN"/>
        </w:rPr>
        <w:t>GB/T 37198</w:t>
      </w:r>
      <w:r>
        <w:rPr>
          <w:rFonts w:hint="eastAsia"/>
          <w:color w:val="auto"/>
          <w:lang w:val="en-US" w:eastAsia="zh-CN"/>
        </w:rPr>
        <w:t xml:space="preserve">  </w:t>
      </w:r>
      <w:r>
        <w:rPr>
          <w:rFonts w:hint="eastAsia"/>
          <w:color w:val="auto"/>
          <w:lang w:eastAsia="zh-CN"/>
        </w:rPr>
        <w:t>抗冲击聚苯乙烯（PS-I）树脂</w:t>
      </w:r>
    </w:p>
    <w:p w14:paraId="2CEBF038">
      <w:pPr>
        <w:pStyle w:val="3"/>
        <w:ind w:firstLine="420" w:firstLineChars="200"/>
        <w:rPr>
          <w:rFonts w:hint="default"/>
          <w:color w:val="auto"/>
          <w:lang w:val="en-US" w:eastAsia="zh-CN"/>
        </w:rPr>
      </w:pPr>
      <w:r>
        <w:rPr>
          <w:rFonts w:hint="default"/>
          <w:color w:val="auto"/>
          <w:lang w:val="en-US" w:eastAsia="zh-CN"/>
        </w:rPr>
        <w:t xml:space="preserve">SH/T 0656  </w:t>
      </w:r>
      <w:r>
        <w:rPr>
          <w:rFonts w:hint="default"/>
          <w:color w:val="auto"/>
          <w:lang w:val="en-US" w:eastAsia="zh-CN"/>
        </w:rPr>
        <w:fldChar w:fldCharType="begin"/>
      </w:r>
      <w:r>
        <w:rPr>
          <w:rFonts w:hint="default"/>
          <w:color w:val="auto"/>
          <w:lang w:val="en-US" w:eastAsia="zh-CN"/>
        </w:rPr>
        <w:instrText xml:space="preserve"> HYPERLINK "https://std.samr.gov.cn/hb/search/stdHBDetailed?id=8B1827F15082BB19E05397BE0A0AB44A" \t "https://std.samr.gov.cn/search/_blank" </w:instrText>
      </w:r>
      <w:r>
        <w:rPr>
          <w:rFonts w:hint="default"/>
          <w:color w:val="auto"/>
          <w:lang w:val="en-US" w:eastAsia="zh-CN"/>
        </w:rPr>
        <w:fldChar w:fldCharType="separate"/>
      </w:r>
      <w:r>
        <w:rPr>
          <w:rFonts w:hint="default"/>
          <w:color w:val="auto"/>
          <w:lang w:val="en-US" w:eastAsia="zh-CN"/>
        </w:rPr>
        <w:t>石油产品及润滑剂中碳、氢、氮的测定 元素分析仪法</w:t>
      </w:r>
      <w:r>
        <w:rPr>
          <w:rFonts w:hint="default"/>
          <w:color w:val="auto"/>
          <w:lang w:val="en-US" w:eastAsia="zh-CN"/>
        </w:rPr>
        <w:fldChar w:fldCharType="end"/>
      </w:r>
    </w:p>
    <w:p w14:paraId="611B58C2">
      <w:pPr>
        <w:pStyle w:val="39"/>
        <w:numPr>
          <w:ilvl w:val="0"/>
          <w:numId w:val="0"/>
        </w:numPr>
        <w:spacing w:before="312" w:after="312"/>
        <w:outlineLvl w:val="0"/>
        <w:rPr>
          <w:color w:val="auto"/>
        </w:rPr>
      </w:pPr>
      <w:bookmarkStart w:id="5" w:name="_Toc21315"/>
      <w:r>
        <w:rPr>
          <w:rFonts w:hint="eastAsia"/>
          <w:color w:val="auto"/>
        </w:rPr>
        <w:t xml:space="preserve">3 </w:t>
      </w:r>
      <w:r>
        <w:rPr>
          <w:rFonts w:hint="eastAsia"/>
          <w:color w:val="auto"/>
          <w:lang w:val="en-US" w:eastAsia="zh-CN"/>
        </w:rPr>
        <w:t xml:space="preserve"> </w:t>
      </w:r>
      <w:r>
        <w:rPr>
          <w:color w:val="auto"/>
        </w:rPr>
        <w:t>术语和定义</w:t>
      </w:r>
      <w:bookmarkEnd w:id="5"/>
    </w:p>
    <w:p w14:paraId="3E84E2DA">
      <w:pPr>
        <w:pStyle w:val="27"/>
        <w:rPr>
          <w:rFonts w:hint="eastAsia" w:ascii="Times New Roman" w:eastAsia="宋体"/>
          <w:color w:val="auto"/>
          <w:lang w:eastAsia="zh-CN"/>
        </w:rPr>
      </w:pPr>
      <w:r>
        <w:rPr>
          <w:rFonts w:hint="eastAsia" w:ascii="Times New Roman"/>
          <w:color w:val="auto"/>
          <w:highlight w:val="none"/>
          <w:lang w:val="en-US" w:eastAsia="zh-CN"/>
        </w:rPr>
        <w:t>GB/T 2589、GB/T 12723</w:t>
      </w:r>
      <w:r>
        <w:rPr>
          <w:rFonts w:hint="eastAsia" w:ascii="Times New Roman"/>
          <w:color w:val="auto"/>
          <w:highlight w:val="none"/>
        </w:rPr>
        <w:t>界定的以及下列术语</w:t>
      </w:r>
      <w:r>
        <w:rPr>
          <w:rFonts w:hint="eastAsia" w:ascii="Times New Roman"/>
          <w:color w:val="auto"/>
        </w:rPr>
        <w:t>和定义适用于本文件</w:t>
      </w:r>
      <w:r>
        <w:rPr>
          <w:rFonts w:ascii="Times New Roman"/>
          <w:color w:val="auto"/>
        </w:rPr>
        <w:t>。</w:t>
      </w:r>
    </w:p>
    <w:p w14:paraId="4E43D56F">
      <w:pPr>
        <w:ind w:firstLine="420" w:firstLineChars="200"/>
        <w:rPr>
          <w:rFonts w:hint="default"/>
          <w:color w:val="auto"/>
          <w:highlight w:val="none"/>
          <w:lang w:val="en-US" w:eastAsia="zh-CN"/>
        </w:rPr>
      </w:pPr>
    </w:p>
    <w:p w14:paraId="163F5A54">
      <w:pPr>
        <w:pStyle w:val="65"/>
        <w:ind w:firstLine="0"/>
        <w:rPr>
          <w:rFonts w:hint="default"/>
          <w:color w:val="auto"/>
          <w:lang w:val="en-US" w:eastAsia="zh-CN"/>
        </w:rPr>
      </w:pPr>
      <w:r>
        <w:rPr>
          <w:rFonts w:hint="eastAsia"/>
          <w:color w:val="auto"/>
          <w:lang w:val="en-US" w:eastAsia="zh-CN"/>
        </w:rPr>
        <w:t>3.1</w:t>
      </w:r>
    </w:p>
    <w:p w14:paraId="37F5479E">
      <w:pPr>
        <w:pStyle w:val="65"/>
        <w:ind w:firstLine="420" w:firstLineChars="200"/>
        <w:rPr>
          <w:rFonts w:hint="eastAsia"/>
          <w:b w:val="0"/>
          <w:bCs w:val="0"/>
          <w:color w:val="auto"/>
          <w:lang w:val="en-US" w:eastAsia="zh-CN"/>
        </w:rPr>
      </w:pPr>
      <w:r>
        <w:rPr>
          <w:rFonts w:hint="eastAsia"/>
          <w:b w:val="0"/>
          <w:bCs w:val="0"/>
          <w:color w:val="auto"/>
          <w:lang w:val="en-US" w:eastAsia="zh-CN"/>
        </w:rPr>
        <w:t>聚苯乙烯产品综合能耗  comprehensive energy consumption of Polystyrene products</w:t>
      </w:r>
    </w:p>
    <w:p w14:paraId="587D36AE">
      <w:pPr>
        <w:ind w:firstLine="420" w:firstLineChars="200"/>
        <w:rPr>
          <w:rFonts w:hint="eastAsia"/>
          <w:color w:val="auto"/>
          <w:lang w:val="en-US" w:eastAsia="zh-CN"/>
        </w:rPr>
      </w:pPr>
      <w:r>
        <w:rPr>
          <w:rFonts w:hint="eastAsia"/>
          <w:color w:val="auto"/>
          <w:lang w:val="en-US" w:eastAsia="zh-CN"/>
        </w:rPr>
        <w:t>统计报告期内，聚苯乙烯产品生产过程中实际消耗的各种能源的实物量，按规定的计算方法和单位分别折算为标准煤后的总和。</w:t>
      </w:r>
    </w:p>
    <w:p w14:paraId="31B62970">
      <w:pPr>
        <w:pStyle w:val="65"/>
        <w:ind w:firstLine="0"/>
        <w:rPr>
          <w:rFonts w:hint="eastAsia"/>
          <w:color w:val="auto"/>
          <w:lang w:val="en-US" w:eastAsia="zh-CN"/>
        </w:rPr>
      </w:pPr>
    </w:p>
    <w:p w14:paraId="236175C9">
      <w:pPr>
        <w:pStyle w:val="65"/>
        <w:ind w:firstLine="0"/>
        <w:rPr>
          <w:rFonts w:hint="eastAsia"/>
          <w:color w:val="auto"/>
          <w:lang w:val="en-US" w:eastAsia="zh-CN"/>
        </w:rPr>
      </w:pPr>
    </w:p>
    <w:p w14:paraId="257BCE17">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color w:val="auto"/>
          <w:lang w:val="en-US" w:eastAsia="zh-CN"/>
        </w:rPr>
      </w:pPr>
    </w:p>
    <w:p w14:paraId="4A328D8E">
      <w:pPr>
        <w:pStyle w:val="65"/>
        <w:ind w:firstLine="0"/>
        <w:rPr>
          <w:rFonts w:hint="eastAsia"/>
          <w:color w:val="auto"/>
          <w:lang w:val="en-US" w:eastAsia="zh-CN"/>
        </w:rPr>
      </w:pPr>
      <w:r>
        <w:rPr>
          <w:rFonts w:hint="eastAsia"/>
          <w:color w:val="auto"/>
          <w:lang w:val="en-US" w:eastAsia="zh-CN"/>
        </w:rPr>
        <w:t>3.2</w:t>
      </w:r>
    </w:p>
    <w:p w14:paraId="1511CC5E">
      <w:pPr>
        <w:pStyle w:val="65"/>
        <w:ind w:firstLine="420" w:firstLineChars="200"/>
        <w:rPr>
          <w:rFonts w:hint="default"/>
          <w:b w:val="0"/>
          <w:bCs w:val="0"/>
          <w:color w:val="auto"/>
          <w:highlight w:val="none"/>
          <w:lang w:val="en-US" w:eastAsia="zh-CN"/>
        </w:rPr>
      </w:pPr>
      <w:r>
        <w:rPr>
          <w:rFonts w:hint="eastAsia"/>
          <w:b w:val="0"/>
          <w:bCs w:val="0"/>
          <w:color w:val="auto"/>
          <w:highlight w:val="none"/>
          <w:lang w:val="en-US" w:eastAsia="zh-CN"/>
        </w:rPr>
        <w:t xml:space="preserve">聚苯乙烯单位产品综合能耗  comprehensive energy consumption per unit production of Polystyrene </w:t>
      </w:r>
    </w:p>
    <w:p w14:paraId="4DF8E869">
      <w:pPr>
        <w:ind w:firstLine="420" w:firstLineChars="200"/>
        <w:rPr>
          <w:rFonts w:hint="eastAsia"/>
          <w:color w:val="auto"/>
          <w:lang w:val="en-US" w:eastAsia="zh-CN"/>
        </w:rPr>
      </w:pPr>
      <w:r>
        <w:rPr>
          <w:rFonts w:hint="eastAsia"/>
          <w:color w:val="auto"/>
          <w:lang w:val="en-US" w:eastAsia="zh-CN"/>
        </w:rPr>
        <w:t>同一统计报告期内，聚苯乙烯产品综合能耗与聚苯乙烯合格产品产量的比值。</w:t>
      </w:r>
    </w:p>
    <w:p w14:paraId="19095924">
      <w:pPr>
        <w:pStyle w:val="65"/>
        <w:ind w:firstLine="0"/>
        <w:rPr>
          <w:rFonts w:hint="eastAsia"/>
          <w:color w:val="auto"/>
          <w:lang w:val="en-US" w:eastAsia="zh-CN"/>
        </w:rPr>
      </w:pPr>
      <w:r>
        <w:rPr>
          <w:rFonts w:hint="eastAsia"/>
          <w:color w:val="auto"/>
          <w:lang w:val="en-US" w:eastAsia="zh-CN"/>
        </w:rPr>
        <w:t>3.3</w:t>
      </w:r>
    </w:p>
    <w:p w14:paraId="04660129">
      <w:pPr>
        <w:pStyle w:val="65"/>
        <w:ind w:firstLine="420" w:firstLineChars="200"/>
        <w:rPr>
          <w:rFonts w:hint="default"/>
          <w:color w:val="auto"/>
          <w:lang w:val="en-US" w:eastAsia="zh-CN"/>
        </w:rPr>
      </w:pPr>
      <w:r>
        <w:rPr>
          <w:rFonts w:hint="eastAsia"/>
          <w:color w:val="auto"/>
          <w:lang w:val="en-US" w:eastAsia="zh-CN"/>
        </w:rPr>
        <w:t>聚苯乙烯产品二氧化碳排放总量  the comprehensive carbon emission of Polystyrene products</w:t>
      </w:r>
    </w:p>
    <w:p w14:paraId="54965264">
      <w:pPr>
        <w:ind w:firstLine="420" w:firstLineChars="200"/>
        <w:rPr>
          <w:rFonts w:hint="default"/>
          <w:color w:val="auto"/>
          <w:lang w:val="en-US" w:eastAsia="zh-CN"/>
        </w:rPr>
      </w:pPr>
      <w:r>
        <w:rPr>
          <w:rFonts w:hint="default"/>
          <w:color w:val="auto"/>
          <w:lang w:val="en-US" w:eastAsia="zh-CN"/>
        </w:rPr>
        <w:t>统计报告期内，</w:t>
      </w:r>
      <w:r>
        <w:rPr>
          <w:rFonts w:hint="eastAsia"/>
          <w:color w:val="auto"/>
          <w:lang w:val="en-US" w:eastAsia="zh-CN"/>
        </w:rPr>
        <w:t>聚苯乙烯</w:t>
      </w:r>
      <w:r>
        <w:rPr>
          <w:rFonts w:hint="eastAsia" w:ascii="Times New Roman" w:eastAsia="宋体"/>
          <w:color w:val="auto"/>
          <w:lang w:val="en-US" w:eastAsia="zh-CN"/>
        </w:rPr>
        <w:t>产品</w:t>
      </w:r>
      <w:r>
        <w:rPr>
          <w:rFonts w:hint="default"/>
          <w:color w:val="auto"/>
          <w:lang w:val="en-US" w:eastAsia="zh-CN"/>
        </w:rPr>
        <w:t>生产</w:t>
      </w:r>
      <w:r>
        <w:rPr>
          <w:rFonts w:hint="eastAsia" w:ascii="Times New Roman" w:eastAsia="宋体"/>
          <w:color w:val="auto"/>
          <w:lang w:val="en-US" w:eastAsia="zh-CN"/>
        </w:rPr>
        <w:t>过程中</w:t>
      </w:r>
      <w:r>
        <w:rPr>
          <w:rFonts w:hint="default"/>
          <w:color w:val="auto"/>
          <w:lang w:val="en-US" w:eastAsia="zh-CN"/>
        </w:rPr>
        <w:t>所排放的</w:t>
      </w:r>
      <w:r>
        <w:rPr>
          <w:rFonts w:hint="eastAsia" w:ascii="Times New Roman" w:eastAsia="宋体"/>
          <w:color w:val="auto"/>
          <w:lang w:val="en-US" w:eastAsia="zh-CN"/>
        </w:rPr>
        <w:t>二氧化碳</w:t>
      </w:r>
      <w:r>
        <w:rPr>
          <w:rFonts w:hint="default"/>
          <w:color w:val="auto"/>
          <w:lang w:val="en-US" w:eastAsia="zh-CN"/>
        </w:rPr>
        <w:t>气体总量。其值等于生产过程中各个核算单元的化石燃料燃烧、生产过程、</w:t>
      </w:r>
      <w:r>
        <w:rPr>
          <w:rFonts w:hint="eastAsia" w:ascii="Times New Roman" w:eastAsia="宋体"/>
          <w:color w:val="auto"/>
          <w:lang w:val="en-US" w:eastAsia="zh-CN"/>
        </w:rPr>
        <w:t>净</w:t>
      </w:r>
      <w:r>
        <w:rPr>
          <w:rFonts w:hint="default"/>
          <w:color w:val="auto"/>
          <w:lang w:val="en-US" w:eastAsia="zh-CN"/>
        </w:rPr>
        <w:t>购入电力和热力的二氧化碳排放之和。</w:t>
      </w:r>
    </w:p>
    <w:p w14:paraId="2D716A8D">
      <w:pPr>
        <w:pStyle w:val="65"/>
        <w:ind w:firstLine="0"/>
        <w:rPr>
          <w:rFonts w:hint="default"/>
          <w:color w:val="auto"/>
          <w:lang w:val="en-US" w:eastAsia="zh-CN"/>
        </w:rPr>
      </w:pPr>
      <w:r>
        <w:rPr>
          <w:rFonts w:hint="eastAsia"/>
          <w:color w:val="auto"/>
          <w:lang w:val="en-US" w:eastAsia="zh-CN"/>
        </w:rPr>
        <w:t>3.4</w:t>
      </w:r>
    </w:p>
    <w:p w14:paraId="7FAD3341">
      <w:pPr>
        <w:pStyle w:val="65"/>
        <w:ind w:firstLine="420" w:firstLineChars="200"/>
        <w:rPr>
          <w:rFonts w:hint="default"/>
          <w:b w:val="0"/>
          <w:bCs w:val="0"/>
          <w:color w:val="auto"/>
          <w:lang w:val="en-US" w:eastAsia="zh-CN"/>
        </w:rPr>
      </w:pPr>
      <w:r>
        <w:rPr>
          <w:rFonts w:hint="eastAsia"/>
          <w:b w:val="0"/>
          <w:bCs w:val="0"/>
          <w:color w:val="auto"/>
          <w:lang w:val="en-US" w:eastAsia="zh-CN"/>
        </w:rPr>
        <w:t xml:space="preserve">聚苯乙烯单位产品二氧化碳排放量  the comprehensive carbon emission per production of Polystyrene </w:t>
      </w:r>
    </w:p>
    <w:p w14:paraId="7AB28641">
      <w:pPr>
        <w:ind w:firstLine="420" w:firstLineChars="200"/>
        <w:rPr>
          <w:rFonts w:hint="default"/>
          <w:color w:val="auto"/>
          <w:lang w:val="en-US" w:eastAsia="zh-CN"/>
        </w:rPr>
      </w:pPr>
      <w:r>
        <w:rPr>
          <w:rFonts w:hint="default"/>
          <w:color w:val="auto"/>
          <w:lang w:val="en-US" w:eastAsia="zh-CN"/>
        </w:rPr>
        <w:t>统计报告期内，</w:t>
      </w:r>
      <w:r>
        <w:rPr>
          <w:rFonts w:hint="eastAsia"/>
          <w:color w:val="auto"/>
          <w:lang w:val="en-US" w:eastAsia="zh-CN"/>
        </w:rPr>
        <w:t>聚苯乙烯</w:t>
      </w:r>
      <w:r>
        <w:rPr>
          <w:rFonts w:hint="default"/>
          <w:color w:val="auto"/>
          <w:lang w:val="en-US" w:eastAsia="zh-CN"/>
        </w:rPr>
        <w:t>产品二氧化碳排放总量与</w:t>
      </w:r>
      <w:r>
        <w:rPr>
          <w:rFonts w:hint="eastAsia"/>
          <w:color w:val="auto"/>
          <w:lang w:val="en-US" w:eastAsia="zh-CN"/>
        </w:rPr>
        <w:t>聚苯乙烯</w:t>
      </w:r>
      <w:r>
        <w:rPr>
          <w:rFonts w:hint="default"/>
          <w:color w:val="auto"/>
          <w:lang w:val="en-US" w:eastAsia="zh-CN"/>
        </w:rPr>
        <w:t>合格产品产量的比值</w:t>
      </w:r>
      <w:r>
        <w:rPr>
          <w:rFonts w:hint="eastAsia"/>
          <w:color w:val="auto"/>
          <w:lang w:val="en-US" w:eastAsia="zh-CN"/>
        </w:rPr>
        <w:t>。</w:t>
      </w:r>
    </w:p>
    <w:p w14:paraId="6EEBCCAA">
      <w:pPr>
        <w:pStyle w:val="39"/>
        <w:numPr>
          <w:ilvl w:val="0"/>
          <w:numId w:val="0"/>
        </w:numPr>
        <w:spacing w:before="312" w:after="312"/>
        <w:outlineLvl w:val="0"/>
        <w:rPr>
          <w:rFonts w:hint="default" w:eastAsia="黑体"/>
          <w:color w:val="auto"/>
          <w:lang w:val="en-US" w:eastAsia="zh-CN"/>
        </w:rPr>
      </w:pPr>
      <w:bookmarkStart w:id="6" w:name="_Toc21617"/>
      <w:r>
        <w:rPr>
          <w:rFonts w:hint="eastAsia"/>
          <w:color w:val="auto"/>
        </w:rPr>
        <w:t xml:space="preserve">4 </w:t>
      </w:r>
      <w:r>
        <w:rPr>
          <w:rFonts w:hint="eastAsia"/>
          <w:color w:val="auto"/>
          <w:lang w:val="en-US" w:eastAsia="zh-CN"/>
        </w:rPr>
        <w:t xml:space="preserve"> 限额等级</w:t>
      </w:r>
      <w:bookmarkEnd w:id="6"/>
      <w:r>
        <w:rPr>
          <w:rFonts w:hint="eastAsia"/>
          <w:color w:val="auto"/>
          <w:lang w:val="en-US" w:eastAsia="zh-CN"/>
        </w:rPr>
        <w:t>及指标要求</w:t>
      </w:r>
    </w:p>
    <w:p w14:paraId="0B1FA21A">
      <w:pPr>
        <w:pStyle w:val="65"/>
        <w:ind w:firstLine="0"/>
        <w:rPr>
          <w:rFonts w:hint="default"/>
          <w:color w:val="auto"/>
          <w:lang w:val="en-US" w:eastAsia="zh-CN"/>
        </w:rPr>
      </w:pPr>
      <w:r>
        <w:rPr>
          <w:rFonts w:hint="eastAsia"/>
          <w:color w:val="auto"/>
          <w:lang w:val="en-US" w:eastAsia="zh-CN"/>
        </w:rPr>
        <w:t>4.1 聚苯乙烯能耗限额等级</w:t>
      </w:r>
    </w:p>
    <w:p w14:paraId="33785ED6">
      <w:pPr>
        <w:keepNext w:val="0"/>
        <w:keepLines w:val="0"/>
        <w:widowControl/>
        <w:suppressLineNumbers w:val="0"/>
        <w:ind w:firstLine="420" w:firstLineChars="200"/>
        <w:jc w:val="left"/>
        <w:rPr>
          <w:rFonts w:hint="eastAsia"/>
          <w:color w:val="auto"/>
          <w:vertAlign w:val="baseline"/>
          <w:lang w:val="en-US" w:eastAsia="zh-CN"/>
        </w:rPr>
      </w:pPr>
      <w:r>
        <w:rPr>
          <w:rFonts w:hint="eastAsia"/>
          <w:color w:val="auto"/>
          <w:vertAlign w:val="baseline"/>
          <w:lang w:val="en-US" w:eastAsia="zh-CN"/>
        </w:rPr>
        <w:t>聚苯乙烯企业单位产品综合能耗限额等级见表 1。</w:t>
      </w:r>
    </w:p>
    <w:p w14:paraId="5DC8B2D9">
      <w:pPr>
        <w:keepNext w:val="0"/>
        <w:keepLines w:val="0"/>
        <w:widowControl/>
        <w:suppressLineNumbers w:val="0"/>
        <w:ind w:firstLine="420" w:firstLineChars="200"/>
        <w:jc w:val="left"/>
        <w:rPr>
          <w:rFonts w:hint="eastAsia"/>
          <w:color w:val="auto"/>
          <w:vertAlign w:val="baseline"/>
          <w:lang w:val="en-US" w:eastAsia="zh-CN"/>
        </w:rPr>
      </w:pPr>
    </w:p>
    <w:p w14:paraId="0983E17F">
      <w:pPr>
        <w:keepNext w:val="0"/>
        <w:keepLines w:val="0"/>
        <w:widowControl/>
        <w:suppressLineNumbers w:val="0"/>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表1 聚苯乙烯单位产品综合能耗限额等级</w:t>
      </w:r>
    </w:p>
    <w:p w14:paraId="23444162">
      <w:pPr>
        <w:keepNext w:val="0"/>
        <w:keepLines w:val="0"/>
        <w:widowControl/>
        <w:suppressLineNumbers w:val="0"/>
        <w:ind w:firstLine="420" w:firstLineChars="200"/>
        <w:jc w:val="left"/>
        <w:rPr>
          <w:rFonts w:hint="eastAsia" w:ascii="黑体" w:hAnsi="黑体" w:eastAsia="黑体" w:cs="黑体"/>
          <w:color w:val="auto"/>
          <w:vertAlign w:val="baseline"/>
          <w:lang w:val="en-US" w:eastAsia="zh-CN"/>
        </w:rPr>
      </w:pP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gridCol w:w="2558"/>
        <w:gridCol w:w="2558"/>
        <w:gridCol w:w="2577"/>
      </w:tblGrid>
      <w:tr w14:paraId="4136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vMerge w:val="restart"/>
            <w:tcBorders>
              <w:tl2br w:val="nil"/>
              <w:tr2bl w:val="nil"/>
            </w:tcBorders>
            <w:noWrap w:val="0"/>
            <w:vAlign w:val="center"/>
          </w:tcPr>
          <w:p w14:paraId="563146A2">
            <w:pPr>
              <w:jc w:val="center"/>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产品类型</w:t>
            </w:r>
          </w:p>
        </w:tc>
        <w:tc>
          <w:tcPr>
            <w:tcW w:w="4020" w:type="pct"/>
            <w:gridSpan w:val="3"/>
            <w:tcBorders>
              <w:tl2br w:val="nil"/>
              <w:tr2bl w:val="nil"/>
            </w:tcBorders>
            <w:noWrap w:val="0"/>
            <w:vAlign w:val="center"/>
          </w:tcPr>
          <w:p w14:paraId="30A17634">
            <w:pPr>
              <w:jc w:val="center"/>
              <w:rPr>
                <w:rFonts w:hint="eastAsia"/>
                <w:color w:val="auto"/>
                <w:spacing w:val="-1"/>
                <w:sz w:val="18"/>
                <w:szCs w:val="18"/>
                <w:highlight w:val="none"/>
                <w:lang w:val="en-US" w:eastAsia="zh-CN"/>
              </w:rPr>
            </w:pPr>
            <w:r>
              <w:rPr>
                <w:rFonts w:hint="eastAsia"/>
                <w:color w:val="auto"/>
                <w:spacing w:val="-1"/>
                <w:sz w:val="18"/>
                <w:szCs w:val="18"/>
                <w:highlight w:val="none"/>
                <w:lang w:val="en-US" w:eastAsia="zh-CN"/>
              </w:rPr>
              <w:t>单位产品综合能耗限额等级</w:t>
            </w:r>
          </w:p>
          <w:p w14:paraId="283BDDA9">
            <w:pPr>
              <w:jc w:val="center"/>
              <w:rPr>
                <w:rFonts w:hint="eastAsia" w:ascii="宋体" w:hAnsi="宋体"/>
                <w:color w:val="auto"/>
                <w:kern w:val="0"/>
                <w:sz w:val="18"/>
                <w:szCs w:val="18"/>
                <w:highlight w:val="none"/>
              </w:rPr>
            </w:pPr>
            <w:r>
              <w:rPr>
                <w:rFonts w:hint="eastAsia" w:eastAsia="宋体"/>
                <w:color w:val="auto"/>
                <w:spacing w:val="-1"/>
                <w:sz w:val="18"/>
                <w:szCs w:val="18"/>
                <w:highlight w:val="none"/>
                <w:lang w:val="en-US" w:eastAsia="zh-CN"/>
              </w:rPr>
              <w:t>kgce/t</w:t>
            </w:r>
          </w:p>
        </w:tc>
      </w:tr>
      <w:tr w14:paraId="3708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vMerge w:val="continue"/>
            <w:tcBorders>
              <w:tl2br w:val="nil"/>
              <w:tr2bl w:val="nil"/>
            </w:tcBorders>
            <w:noWrap w:val="0"/>
            <w:vAlign w:val="center"/>
          </w:tcPr>
          <w:p w14:paraId="076880C7">
            <w:pPr>
              <w:jc w:val="center"/>
              <w:rPr>
                <w:rFonts w:hint="default" w:ascii="宋体" w:hAnsi="宋体" w:eastAsia="宋体"/>
                <w:color w:val="auto"/>
                <w:kern w:val="0"/>
                <w:sz w:val="18"/>
                <w:szCs w:val="18"/>
                <w:highlight w:val="none"/>
                <w:lang w:val="en-US" w:eastAsia="zh-CN"/>
              </w:rPr>
            </w:pPr>
          </w:p>
        </w:tc>
        <w:tc>
          <w:tcPr>
            <w:tcW w:w="1337" w:type="pct"/>
            <w:tcBorders>
              <w:tl2br w:val="nil"/>
              <w:tr2bl w:val="nil"/>
            </w:tcBorders>
            <w:noWrap w:val="0"/>
            <w:vAlign w:val="center"/>
          </w:tcPr>
          <w:p w14:paraId="1DED6C30">
            <w:pPr>
              <w:jc w:val="center"/>
              <w:rPr>
                <w:rFonts w:ascii="宋体" w:hAnsi="宋体"/>
                <w:color w:val="auto"/>
                <w:kern w:val="0"/>
                <w:sz w:val="18"/>
                <w:szCs w:val="18"/>
                <w:highlight w:val="none"/>
              </w:rPr>
            </w:pPr>
            <w:r>
              <w:rPr>
                <w:rFonts w:ascii="宋体" w:hAnsi="宋体"/>
                <w:color w:val="auto"/>
                <w:kern w:val="0"/>
                <w:sz w:val="18"/>
                <w:szCs w:val="18"/>
                <w:highlight w:val="none"/>
              </w:rPr>
              <w:t>1</w:t>
            </w:r>
            <w:r>
              <w:rPr>
                <w:rFonts w:hint="eastAsia" w:ascii="宋体" w:hAnsi="宋体"/>
                <w:color w:val="auto"/>
                <w:kern w:val="0"/>
                <w:sz w:val="18"/>
                <w:szCs w:val="18"/>
                <w:highlight w:val="none"/>
              </w:rPr>
              <w:t>级</w:t>
            </w:r>
          </w:p>
        </w:tc>
        <w:tc>
          <w:tcPr>
            <w:tcW w:w="1337" w:type="pct"/>
            <w:tcBorders>
              <w:tl2br w:val="nil"/>
              <w:tr2bl w:val="nil"/>
            </w:tcBorders>
            <w:noWrap w:val="0"/>
            <w:vAlign w:val="center"/>
          </w:tcPr>
          <w:p w14:paraId="2139441F">
            <w:pPr>
              <w:jc w:val="center"/>
              <w:rPr>
                <w:rFonts w:ascii="宋体" w:hAnsi="宋体"/>
                <w:color w:val="auto"/>
                <w:kern w:val="0"/>
                <w:sz w:val="18"/>
                <w:szCs w:val="18"/>
                <w:highlight w:val="none"/>
              </w:rPr>
            </w:pPr>
            <w:r>
              <w:rPr>
                <w:rFonts w:ascii="宋体" w:hAnsi="宋体"/>
                <w:color w:val="auto"/>
                <w:kern w:val="0"/>
                <w:sz w:val="18"/>
                <w:szCs w:val="18"/>
                <w:highlight w:val="none"/>
              </w:rPr>
              <w:t>2</w:t>
            </w:r>
            <w:r>
              <w:rPr>
                <w:rFonts w:hint="eastAsia" w:ascii="宋体" w:hAnsi="宋体"/>
                <w:color w:val="auto"/>
                <w:kern w:val="0"/>
                <w:sz w:val="18"/>
                <w:szCs w:val="18"/>
                <w:highlight w:val="none"/>
              </w:rPr>
              <w:t>级</w:t>
            </w:r>
          </w:p>
        </w:tc>
        <w:tc>
          <w:tcPr>
            <w:tcW w:w="1346" w:type="pct"/>
            <w:tcBorders>
              <w:tl2br w:val="nil"/>
              <w:tr2bl w:val="nil"/>
            </w:tcBorders>
            <w:noWrap w:val="0"/>
            <w:vAlign w:val="center"/>
          </w:tcPr>
          <w:p w14:paraId="51245B23">
            <w:pPr>
              <w:jc w:val="center"/>
              <w:rPr>
                <w:rFonts w:ascii="宋体" w:hAnsi="宋体"/>
                <w:color w:val="auto"/>
                <w:kern w:val="0"/>
                <w:sz w:val="18"/>
                <w:szCs w:val="18"/>
                <w:highlight w:val="none"/>
              </w:rPr>
            </w:pPr>
            <w:r>
              <w:rPr>
                <w:rFonts w:ascii="宋体" w:hAnsi="宋体"/>
                <w:color w:val="auto"/>
                <w:kern w:val="0"/>
                <w:sz w:val="18"/>
                <w:szCs w:val="18"/>
                <w:highlight w:val="none"/>
              </w:rPr>
              <w:t>3</w:t>
            </w:r>
            <w:r>
              <w:rPr>
                <w:rFonts w:hint="eastAsia" w:ascii="宋体" w:hAnsi="宋体"/>
                <w:color w:val="auto"/>
                <w:kern w:val="0"/>
                <w:sz w:val="18"/>
                <w:szCs w:val="18"/>
                <w:highlight w:val="none"/>
              </w:rPr>
              <w:t>级</w:t>
            </w:r>
          </w:p>
        </w:tc>
      </w:tr>
      <w:tr w14:paraId="462E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tcBorders>
              <w:tl2br w:val="nil"/>
              <w:tr2bl w:val="nil"/>
            </w:tcBorders>
            <w:noWrap w:val="0"/>
            <w:vAlign w:val="center"/>
          </w:tcPr>
          <w:p w14:paraId="7E961A07">
            <w:pPr>
              <w:jc w:val="center"/>
              <w:rPr>
                <w:rFonts w:hint="eastAsia"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通用级聚苯乙烯（GPPS）/高抗冲聚苯乙烯（HIPS）</w:t>
            </w:r>
          </w:p>
        </w:tc>
        <w:tc>
          <w:tcPr>
            <w:tcW w:w="2558" w:type="dxa"/>
            <w:tcBorders>
              <w:tl2br w:val="nil"/>
              <w:tr2bl w:val="nil"/>
            </w:tcBorders>
            <w:noWrap w:val="0"/>
            <w:vAlign w:val="center"/>
          </w:tcPr>
          <w:p w14:paraId="08DBC136">
            <w:pPr>
              <w:jc w:val="center"/>
              <w:rPr>
                <w:rFonts w:hint="eastAsia"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≤23</w:t>
            </w:r>
          </w:p>
        </w:tc>
        <w:tc>
          <w:tcPr>
            <w:tcW w:w="2558" w:type="dxa"/>
            <w:tcBorders>
              <w:tl2br w:val="nil"/>
              <w:tr2bl w:val="nil"/>
            </w:tcBorders>
            <w:noWrap w:val="0"/>
            <w:vAlign w:val="center"/>
          </w:tcPr>
          <w:p w14:paraId="765CF7DE">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≤27</w:t>
            </w:r>
          </w:p>
        </w:tc>
        <w:tc>
          <w:tcPr>
            <w:tcW w:w="2577" w:type="dxa"/>
            <w:tcBorders>
              <w:tl2br w:val="nil"/>
              <w:tr2bl w:val="nil"/>
            </w:tcBorders>
            <w:noWrap w:val="0"/>
            <w:vAlign w:val="center"/>
          </w:tcPr>
          <w:p w14:paraId="4E0850F1">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≤38</w:t>
            </w:r>
          </w:p>
        </w:tc>
      </w:tr>
      <w:tr w14:paraId="16CC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tcBorders>
              <w:tl2br w:val="nil"/>
              <w:tr2bl w:val="nil"/>
            </w:tcBorders>
            <w:noWrap w:val="0"/>
            <w:vAlign w:val="center"/>
          </w:tcPr>
          <w:p w14:paraId="106AC584">
            <w:pPr>
              <w:jc w:val="center"/>
              <w:rPr>
                <w:rFonts w:hint="default"/>
                <w:color w:val="auto"/>
                <w:sz w:val="18"/>
                <w:highlight w:val="none"/>
                <w:lang w:val="en-US" w:eastAsia="zh-CN"/>
              </w:rPr>
            </w:pPr>
            <w:r>
              <w:rPr>
                <w:rFonts w:hint="eastAsia"/>
                <w:color w:val="auto"/>
                <w:sz w:val="18"/>
                <w:highlight w:val="none"/>
                <w:lang w:val="en-US" w:eastAsia="zh-CN"/>
              </w:rPr>
              <w:t>可发性聚苯乙烯（EPS）</w:t>
            </w:r>
          </w:p>
        </w:tc>
        <w:tc>
          <w:tcPr>
            <w:tcW w:w="2558" w:type="dxa"/>
            <w:tcBorders>
              <w:tl2br w:val="nil"/>
              <w:tr2bl w:val="nil"/>
            </w:tcBorders>
            <w:noWrap w:val="0"/>
            <w:vAlign w:val="center"/>
          </w:tcPr>
          <w:p w14:paraId="71583BD1">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≤23</w:t>
            </w:r>
          </w:p>
        </w:tc>
        <w:tc>
          <w:tcPr>
            <w:tcW w:w="2558" w:type="dxa"/>
            <w:tcBorders>
              <w:tl2br w:val="nil"/>
              <w:tr2bl w:val="nil"/>
            </w:tcBorders>
            <w:noWrap w:val="0"/>
            <w:vAlign w:val="center"/>
          </w:tcPr>
          <w:p w14:paraId="4ABB3910">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≤25</w:t>
            </w:r>
          </w:p>
        </w:tc>
        <w:tc>
          <w:tcPr>
            <w:tcW w:w="2577" w:type="dxa"/>
            <w:tcBorders>
              <w:tl2br w:val="nil"/>
              <w:tr2bl w:val="nil"/>
            </w:tcBorders>
            <w:noWrap w:val="0"/>
            <w:vAlign w:val="center"/>
          </w:tcPr>
          <w:p w14:paraId="3AA25204">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≤29</w:t>
            </w:r>
          </w:p>
        </w:tc>
      </w:tr>
    </w:tbl>
    <w:p w14:paraId="3C225251">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27D72C7A">
      <w:pPr>
        <w:pStyle w:val="65"/>
        <w:ind w:firstLine="0"/>
        <w:rPr>
          <w:rFonts w:hint="default"/>
          <w:color w:val="auto"/>
          <w:lang w:val="en-US" w:eastAsia="zh-CN"/>
        </w:rPr>
      </w:pPr>
      <w:r>
        <w:rPr>
          <w:rFonts w:hint="eastAsia"/>
          <w:color w:val="auto"/>
          <w:lang w:val="en-US" w:eastAsia="zh-CN"/>
        </w:rPr>
        <w:t>4.2 聚苯乙烯碳排放限额等级</w:t>
      </w:r>
    </w:p>
    <w:p w14:paraId="3901D1F9">
      <w:pPr>
        <w:keepNext w:val="0"/>
        <w:keepLines w:val="0"/>
        <w:widowControl/>
        <w:suppressLineNumbers w:val="0"/>
        <w:ind w:firstLine="420" w:firstLineChars="200"/>
        <w:jc w:val="left"/>
        <w:rPr>
          <w:rFonts w:hint="eastAsia" w:ascii="Times New Roman" w:eastAsia="宋体"/>
          <w:color w:val="auto"/>
          <w:vertAlign w:val="baseline"/>
          <w:lang w:val="en-US" w:eastAsia="zh-CN"/>
        </w:rPr>
      </w:pPr>
      <w:r>
        <w:rPr>
          <w:rFonts w:hint="eastAsia"/>
          <w:color w:val="auto"/>
          <w:vertAlign w:val="baseline"/>
          <w:lang w:val="en-US" w:eastAsia="zh-CN"/>
        </w:rPr>
        <w:t>聚苯乙烯</w:t>
      </w:r>
      <w:r>
        <w:rPr>
          <w:rFonts w:hint="eastAsia" w:ascii="Times New Roman" w:eastAsia="宋体"/>
          <w:color w:val="auto"/>
          <w:vertAlign w:val="baseline"/>
          <w:lang w:val="en-US" w:eastAsia="zh-CN"/>
        </w:rPr>
        <w:t>企业单位产品二氧化碳排放量限额等级见表</w:t>
      </w:r>
      <w:r>
        <w:rPr>
          <w:rFonts w:hint="eastAsia"/>
          <w:color w:val="auto"/>
          <w:vertAlign w:val="baseline"/>
          <w:lang w:val="en-US" w:eastAsia="zh-CN"/>
        </w:rPr>
        <w:t xml:space="preserve"> </w:t>
      </w:r>
      <w:r>
        <w:rPr>
          <w:rFonts w:hint="eastAsia" w:ascii="Times New Roman" w:eastAsia="宋体"/>
          <w:color w:val="auto"/>
          <w:vertAlign w:val="baseline"/>
          <w:lang w:val="en-US" w:eastAsia="zh-CN"/>
        </w:rPr>
        <w:t>2。</w:t>
      </w:r>
    </w:p>
    <w:p w14:paraId="2864B8E1">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4610D71A">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1FD49161">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29874838">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17F0CA73">
      <w:pPr>
        <w:keepNext w:val="0"/>
        <w:keepLines w:val="0"/>
        <w:widowControl/>
        <w:suppressLineNumbers w:val="0"/>
        <w:ind w:firstLine="420" w:firstLineChars="200"/>
        <w:jc w:val="left"/>
        <w:rPr>
          <w:rFonts w:hint="eastAsia" w:ascii="Times New Roman" w:eastAsia="宋体"/>
          <w:color w:val="auto"/>
          <w:vertAlign w:val="baseline"/>
          <w:lang w:val="en-US" w:eastAsia="zh-CN"/>
        </w:rPr>
      </w:pPr>
    </w:p>
    <w:p w14:paraId="7585C0A2">
      <w:pPr>
        <w:keepNext w:val="0"/>
        <w:keepLines w:val="0"/>
        <w:widowControl/>
        <w:suppressLineNumbers w:val="0"/>
        <w:jc w:val="center"/>
        <w:rPr>
          <w:rFonts w:hint="eastAsia" w:ascii="黑体" w:hAnsi="黑体" w:eastAsia="黑体" w:cs="黑体"/>
          <w:color w:val="auto"/>
          <w:lang w:val="en-US" w:eastAsia="zh-CN"/>
        </w:rPr>
      </w:pPr>
    </w:p>
    <w:p w14:paraId="1E45CB28">
      <w:pPr>
        <w:keepNext w:val="0"/>
        <w:keepLines w:val="0"/>
        <w:widowControl/>
        <w:suppressLineNumbers w:val="0"/>
        <w:jc w:val="center"/>
        <w:rPr>
          <w:rFonts w:hint="eastAsia"/>
          <w:color w:val="auto"/>
          <w:vertAlign w:val="baseline"/>
          <w:lang w:val="en-US" w:eastAsia="zh-CN"/>
        </w:rPr>
      </w:pPr>
      <w:r>
        <w:rPr>
          <w:rFonts w:hint="eastAsia" w:ascii="黑体" w:hAnsi="黑体" w:eastAsia="黑体" w:cs="黑体"/>
          <w:color w:val="auto"/>
          <w:lang w:val="en-US" w:eastAsia="zh-CN"/>
        </w:rPr>
        <w:t xml:space="preserve">表2 </w:t>
      </w:r>
      <w:r>
        <w:rPr>
          <w:rFonts w:hint="eastAsia" w:ascii="黑体" w:hAnsi="黑体" w:eastAsia="黑体" w:cs="黑体"/>
          <w:color w:val="auto"/>
          <w:vertAlign w:val="baseline"/>
          <w:lang w:val="en-US" w:eastAsia="zh-CN"/>
        </w:rPr>
        <w:t>聚苯乙烯单位产品二氧化碳排放量限额等级</w:t>
      </w:r>
    </w:p>
    <w:p w14:paraId="73D74C7A">
      <w:pPr>
        <w:keepNext w:val="0"/>
        <w:keepLines w:val="0"/>
        <w:widowControl/>
        <w:suppressLineNumbers w:val="0"/>
        <w:jc w:val="center"/>
        <w:rPr>
          <w:rFonts w:hint="default"/>
          <w:color w:val="auto"/>
          <w:vertAlign w:val="baseline"/>
          <w:lang w:val="en-US" w:eastAsia="zh-CN"/>
        </w:rPr>
      </w:pP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gridCol w:w="2558"/>
        <w:gridCol w:w="2558"/>
        <w:gridCol w:w="2577"/>
      </w:tblGrid>
      <w:tr w14:paraId="43B9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79" w:type="pct"/>
            <w:vMerge w:val="restart"/>
            <w:tcBorders>
              <w:tl2br w:val="nil"/>
              <w:tr2bl w:val="nil"/>
            </w:tcBorders>
            <w:noWrap w:val="0"/>
            <w:vAlign w:val="center"/>
          </w:tcPr>
          <w:p w14:paraId="36FABA1D">
            <w:pPr>
              <w:jc w:val="center"/>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产品类型</w:t>
            </w:r>
          </w:p>
        </w:tc>
        <w:tc>
          <w:tcPr>
            <w:tcW w:w="4020" w:type="pct"/>
            <w:gridSpan w:val="3"/>
            <w:tcBorders>
              <w:tl2br w:val="nil"/>
              <w:tr2bl w:val="nil"/>
            </w:tcBorders>
            <w:noWrap w:val="0"/>
            <w:vAlign w:val="center"/>
          </w:tcPr>
          <w:p w14:paraId="68DE49BB">
            <w:pPr>
              <w:jc w:val="center"/>
              <w:rPr>
                <w:rFonts w:hint="eastAsia"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单位产品二氧化碳排放量限额等级</w:t>
            </w:r>
          </w:p>
          <w:p w14:paraId="68601A13">
            <w:pPr>
              <w:jc w:val="center"/>
              <w:rPr>
                <w:rFonts w:hint="eastAsia" w:ascii="宋体" w:hAnsi="宋体"/>
                <w:color w:val="auto"/>
                <w:kern w:val="0"/>
                <w:sz w:val="18"/>
                <w:szCs w:val="18"/>
                <w:highlight w:val="none"/>
              </w:rPr>
            </w:pPr>
            <w:r>
              <w:rPr>
                <w:rFonts w:hint="eastAsia" w:eastAsia="宋体"/>
                <w:color w:val="auto"/>
                <w:spacing w:val="-1"/>
                <w:sz w:val="18"/>
                <w:szCs w:val="18"/>
                <w:highlight w:val="none"/>
                <w:lang w:val="en-US" w:eastAsia="zh-CN"/>
              </w:rPr>
              <w:t>kg</w:t>
            </w:r>
            <w:r>
              <w:rPr>
                <w:rFonts w:hint="eastAsia" w:ascii="Times New Roman" w:eastAsia="宋体"/>
                <w:color w:val="auto"/>
                <w:spacing w:val="-1"/>
                <w:sz w:val="18"/>
                <w:szCs w:val="18"/>
                <w:highlight w:val="none"/>
                <w:lang w:val="en-US" w:eastAsia="zh-CN"/>
              </w:rPr>
              <w:t>CO</w:t>
            </w:r>
            <w:r>
              <w:rPr>
                <w:rFonts w:hint="eastAsia" w:ascii="Times New Roman" w:eastAsia="宋体"/>
                <w:color w:val="auto"/>
                <w:spacing w:val="-1"/>
                <w:sz w:val="18"/>
                <w:szCs w:val="18"/>
                <w:highlight w:val="none"/>
                <w:vertAlign w:val="subscript"/>
                <w:lang w:val="en-US" w:eastAsia="zh-CN"/>
              </w:rPr>
              <w:t>2</w:t>
            </w:r>
            <w:r>
              <w:rPr>
                <w:rFonts w:hint="eastAsia" w:eastAsia="宋体"/>
                <w:color w:val="auto"/>
                <w:spacing w:val="-1"/>
                <w:sz w:val="18"/>
                <w:szCs w:val="18"/>
                <w:highlight w:val="none"/>
                <w:lang w:val="en-US" w:eastAsia="zh-CN"/>
              </w:rPr>
              <w:t>/t</w:t>
            </w:r>
          </w:p>
        </w:tc>
      </w:tr>
      <w:tr w14:paraId="768D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vMerge w:val="continue"/>
            <w:tcBorders>
              <w:tl2br w:val="nil"/>
              <w:tr2bl w:val="nil"/>
            </w:tcBorders>
            <w:noWrap w:val="0"/>
            <w:vAlign w:val="center"/>
          </w:tcPr>
          <w:p w14:paraId="46AF328F">
            <w:pPr>
              <w:jc w:val="center"/>
              <w:rPr>
                <w:rFonts w:hint="default" w:ascii="宋体" w:hAnsi="宋体" w:eastAsia="宋体"/>
                <w:color w:val="auto"/>
                <w:kern w:val="0"/>
                <w:sz w:val="18"/>
                <w:szCs w:val="18"/>
                <w:highlight w:val="none"/>
                <w:lang w:val="en-US" w:eastAsia="zh-CN"/>
              </w:rPr>
            </w:pPr>
          </w:p>
        </w:tc>
        <w:tc>
          <w:tcPr>
            <w:tcW w:w="1337" w:type="pct"/>
            <w:tcBorders>
              <w:tl2br w:val="nil"/>
              <w:tr2bl w:val="nil"/>
            </w:tcBorders>
            <w:noWrap w:val="0"/>
            <w:vAlign w:val="center"/>
          </w:tcPr>
          <w:p w14:paraId="4435DB4C">
            <w:pPr>
              <w:jc w:val="center"/>
              <w:rPr>
                <w:rFonts w:ascii="宋体" w:hAnsi="宋体"/>
                <w:color w:val="auto"/>
                <w:kern w:val="0"/>
                <w:sz w:val="18"/>
                <w:szCs w:val="18"/>
                <w:highlight w:val="none"/>
              </w:rPr>
            </w:pPr>
            <w:r>
              <w:rPr>
                <w:rFonts w:ascii="宋体" w:hAnsi="宋体"/>
                <w:color w:val="auto"/>
                <w:kern w:val="0"/>
                <w:sz w:val="18"/>
                <w:szCs w:val="18"/>
                <w:highlight w:val="none"/>
              </w:rPr>
              <w:t>1</w:t>
            </w:r>
            <w:r>
              <w:rPr>
                <w:rFonts w:hint="eastAsia" w:ascii="宋体" w:hAnsi="宋体"/>
                <w:color w:val="auto"/>
                <w:kern w:val="0"/>
                <w:sz w:val="18"/>
                <w:szCs w:val="18"/>
                <w:highlight w:val="none"/>
              </w:rPr>
              <w:t>级</w:t>
            </w:r>
          </w:p>
        </w:tc>
        <w:tc>
          <w:tcPr>
            <w:tcW w:w="1337" w:type="pct"/>
            <w:tcBorders>
              <w:tl2br w:val="nil"/>
              <w:tr2bl w:val="nil"/>
            </w:tcBorders>
            <w:noWrap w:val="0"/>
            <w:vAlign w:val="center"/>
          </w:tcPr>
          <w:p w14:paraId="7802ACFF">
            <w:pPr>
              <w:jc w:val="center"/>
              <w:rPr>
                <w:rFonts w:ascii="宋体" w:hAnsi="宋体"/>
                <w:color w:val="auto"/>
                <w:kern w:val="0"/>
                <w:sz w:val="18"/>
                <w:szCs w:val="18"/>
                <w:highlight w:val="none"/>
              </w:rPr>
            </w:pPr>
            <w:r>
              <w:rPr>
                <w:rFonts w:ascii="宋体" w:hAnsi="宋体"/>
                <w:color w:val="auto"/>
                <w:kern w:val="0"/>
                <w:sz w:val="18"/>
                <w:szCs w:val="18"/>
                <w:highlight w:val="none"/>
              </w:rPr>
              <w:t>2</w:t>
            </w:r>
            <w:r>
              <w:rPr>
                <w:rFonts w:hint="eastAsia" w:ascii="宋体" w:hAnsi="宋体"/>
                <w:color w:val="auto"/>
                <w:kern w:val="0"/>
                <w:sz w:val="18"/>
                <w:szCs w:val="18"/>
                <w:highlight w:val="none"/>
              </w:rPr>
              <w:t>级</w:t>
            </w:r>
          </w:p>
        </w:tc>
        <w:tc>
          <w:tcPr>
            <w:tcW w:w="1346" w:type="pct"/>
            <w:tcBorders>
              <w:tl2br w:val="nil"/>
              <w:tr2bl w:val="nil"/>
            </w:tcBorders>
            <w:noWrap w:val="0"/>
            <w:vAlign w:val="center"/>
          </w:tcPr>
          <w:p w14:paraId="08852E17">
            <w:pPr>
              <w:jc w:val="center"/>
              <w:rPr>
                <w:rFonts w:ascii="宋体" w:hAnsi="宋体"/>
                <w:color w:val="auto"/>
                <w:kern w:val="0"/>
                <w:sz w:val="18"/>
                <w:szCs w:val="18"/>
                <w:highlight w:val="none"/>
              </w:rPr>
            </w:pPr>
            <w:r>
              <w:rPr>
                <w:rFonts w:ascii="宋体" w:hAnsi="宋体"/>
                <w:color w:val="auto"/>
                <w:kern w:val="0"/>
                <w:sz w:val="18"/>
                <w:szCs w:val="18"/>
                <w:highlight w:val="none"/>
              </w:rPr>
              <w:t>3</w:t>
            </w:r>
            <w:r>
              <w:rPr>
                <w:rFonts w:hint="eastAsia" w:ascii="宋体" w:hAnsi="宋体"/>
                <w:color w:val="auto"/>
                <w:kern w:val="0"/>
                <w:sz w:val="18"/>
                <w:szCs w:val="18"/>
                <w:highlight w:val="none"/>
              </w:rPr>
              <w:t>级</w:t>
            </w:r>
          </w:p>
        </w:tc>
      </w:tr>
      <w:tr w14:paraId="52B1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tcBorders>
              <w:tl2br w:val="nil"/>
              <w:tr2bl w:val="nil"/>
            </w:tcBorders>
            <w:noWrap w:val="0"/>
            <w:vAlign w:val="center"/>
          </w:tcPr>
          <w:p w14:paraId="53013C00">
            <w:pPr>
              <w:jc w:val="center"/>
              <w:rPr>
                <w:rFonts w:hint="eastAsia"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通用级聚苯乙烯（GPPS）/高抗冲聚苯乙烯（HIPS）</w:t>
            </w:r>
          </w:p>
        </w:tc>
        <w:tc>
          <w:tcPr>
            <w:tcW w:w="2558" w:type="dxa"/>
            <w:tcBorders>
              <w:tl2br w:val="nil"/>
              <w:tr2bl w:val="nil"/>
            </w:tcBorders>
            <w:noWrap w:val="0"/>
            <w:vAlign w:val="center"/>
          </w:tcPr>
          <w:p w14:paraId="08DABC12">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≤59</w:t>
            </w:r>
          </w:p>
        </w:tc>
        <w:tc>
          <w:tcPr>
            <w:tcW w:w="2558" w:type="dxa"/>
            <w:tcBorders>
              <w:tl2br w:val="nil"/>
              <w:tr2bl w:val="nil"/>
            </w:tcBorders>
            <w:noWrap w:val="0"/>
            <w:vAlign w:val="center"/>
          </w:tcPr>
          <w:p w14:paraId="66C89639">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≤65</w:t>
            </w:r>
          </w:p>
        </w:tc>
        <w:tc>
          <w:tcPr>
            <w:tcW w:w="2577" w:type="dxa"/>
            <w:tcBorders>
              <w:tl2br w:val="nil"/>
              <w:tr2bl w:val="nil"/>
            </w:tcBorders>
            <w:noWrap w:val="0"/>
            <w:vAlign w:val="center"/>
          </w:tcPr>
          <w:p w14:paraId="2BE6EB93">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≤98</w:t>
            </w:r>
          </w:p>
        </w:tc>
      </w:tr>
      <w:tr w14:paraId="635D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9" w:type="pct"/>
            <w:tcBorders>
              <w:tl2br w:val="nil"/>
              <w:tr2bl w:val="nil"/>
            </w:tcBorders>
            <w:noWrap w:val="0"/>
            <w:vAlign w:val="center"/>
          </w:tcPr>
          <w:p w14:paraId="4D52336D">
            <w:pPr>
              <w:jc w:val="center"/>
              <w:rPr>
                <w:rFonts w:hint="default"/>
                <w:color w:val="auto"/>
                <w:sz w:val="18"/>
                <w:highlight w:val="none"/>
                <w:lang w:val="en-US" w:eastAsia="zh-CN"/>
              </w:rPr>
            </w:pPr>
            <w:r>
              <w:rPr>
                <w:rFonts w:hint="eastAsia"/>
                <w:color w:val="auto"/>
                <w:sz w:val="18"/>
                <w:highlight w:val="none"/>
                <w:lang w:val="en-US" w:eastAsia="zh-CN"/>
              </w:rPr>
              <w:t>可发性</w:t>
            </w:r>
            <w:r>
              <w:rPr>
                <w:rFonts w:hint="eastAsia" w:ascii="Times New Roman" w:eastAsia="宋体"/>
                <w:color w:val="auto"/>
                <w:sz w:val="18"/>
                <w:highlight w:val="none"/>
                <w:lang w:val="en-US" w:eastAsia="zh-CN"/>
              </w:rPr>
              <w:t>聚苯乙烯（EPS）</w:t>
            </w:r>
          </w:p>
        </w:tc>
        <w:tc>
          <w:tcPr>
            <w:tcW w:w="2558" w:type="dxa"/>
            <w:tcBorders>
              <w:tl2br w:val="nil"/>
              <w:tr2bl w:val="nil"/>
            </w:tcBorders>
            <w:noWrap w:val="0"/>
            <w:vAlign w:val="center"/>
          </w:tcPr>
          <w:p w14:paraId="65DDA345">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≤72</w:t>
            </w:r>
          </w:p>
        </w:tc>
        <w:tc>
          <w:tcPr>
            <w:tcW w:w="2558" w:type="dxa"/>
            <w:tcBorders>
              <w:tl2br w:val="nil"/>
              <w:tr2bl w:val="nil"/>
            </w:tcBorders>
            <w:noWrap w:val="0"/>
            <w:vAlign w:val="center"/>
          </w:tcPr>
          <w:p w14:paraId="0824D178">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≤76</w:t>
            </w:r>
          </w:p>
        </w:tc>
        <w:tc>
          <w:tcPr>
            <w:tcW w:w="2577" w:type="dxa"/>
            <w:tcBorders>
              <w:tl2br w:val="nil"/>
              <w:tr2bl w:val="nil"/>
            </w:tcBorders>
            <w:noWrap w:val="0"/>
            <w:vAlign w:val="center"/>
          </w:tcPr>
          <w:p w14:paraId="4635B125">
            <w:pPr>
              <w:jc w:val="center"/>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≤82</w:t>
            </w:r>
          </w:p>
        </w:tc>
      </w:tr>
    </w:tbl>
    <w:p w14:paraId="2590F1DC">
      <w:pPr>
        <w:keepNext w:val="0"/>
        <w:keepLines w:val="0"/>
        <w:widowControl/>
        <w:suppressLineNumbers w:val="0"/>
        <w:ind w:firstLine="420" w:firstLineChars="200"/>
        <w:jc w:val="left"/>
        <w:rPr>
          <w:rFonts w:hint="eastAsia" w:ascii="Times New Roman"/>
          <w:color w:val="auto"/>
          <w:lang w:val="en-US" w:eastAsia="zh-CN"/>
        </w:rPr>
      </w:pPr>
    </w:p>
    <w:p w14:paraId="2FC4467A">
      <w:pPr>
        <w:pStyle w:val="65"/>
        <w:ind w:firstLine="0"/>
        <w:rPr>
          <w:rFonts w:hint="default"/>
          <w:color w:val="auto"/>
          <w:lang w:val="en-US" w:eastAsia="zh-CN"/>
        </w:rPr>
      </w:pPr>
      <w:bookmarkStart w:id="7" w:name="_Toc7846"/>
      <w:r>
        <w:rPr>
          <w:rFonts w:hint="eastAsia"/>
          <w:color w:val="auto"/>
          <w:lang w:val="en-US" w:eastAsia="zh-CN"/>
        </w:rPr>
        <w:t>4.3 指标要求</w:t>
      </w:r>
      <w:bookmarkEnd w:id="7"/>
    </w:p>
    <w:p w14:paraId="03EFB939">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cs="Times New Roman"/>
          <w:color w:val="auto"/>
          <w:highlight w:val="none"/>
          <w:vertAlign w:val="baseline"/>
          <w:lang w:val="en-US" w:eastAsia="zh-CN"/>
        </w:rPr>
      </w:pPr>
      <w:r>
        <w:rPr>
          <w:rFonts w:hint="eastAsia" w:cs="Times New Roman"/>
          <w:color w:val="auto"/>
          <w:highlight w:val="none"/>
          <w:vertAlign w:val="baseline"/>
          <w:lang w:val="en-US" w:eastAsia="zh-CN"/>
        </w:rPr>
        <w:t>4.3.1 现有聚苯乙烯企业单位产品综合能耗和单位产品二氧化碳排放量限定值应分别符合表 1、表 2 中 3 级要求。</w:t>
      </w:r>
    </w:p>
    <w:p w14:paraId="12CDC575">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4.3.2 新建及改扩建聚苯乙烯企业单位产品综合能耗和单位产品二氧化碳排放量准入值应分别符合表 1、表 2 中 2 级要求。</w:t>
      </w:r>
    </w:p>
    <w:p w14:paraId="2A5E1DA0">
      <w:pPr>
        <w:pStyle w:val="39"/>
        <w:numPr>
          <w:ilvl w:val="0"/>
          <w:numId w:val="0"/>
        </w:numPr>
        <w:spacing w:before="312" w:after="312"/>
        <w:outlineLvl w:val="0"/>
        <w:rPr>
          <w:rFonts w:hint="default" w:eastAsia="黑体"/>
          <w:b w:val="0"/>
          <w:bCs w:val="0"/>
          <w:color w:val="auto"/>
          <w:highlight w:val="none"/>
          <w:lang w:val="en-US" w:eastAsia="zh-CN"/>
        </w:rPr>
      </w:pPr>
      <w:bookmarkStart w:id="8" w:name="_Toc8826"/>
      <w:r>
        <w:rPr>
          <w:rFonts w:hint="eastAsia"/>
          <w:b w:val="0"/>
          <w:bCs w:val="0"/>
          <w:color w:val="auto"/>
          <w:highlight w:val="none"/>
          <w:lang w:val="en-US" w:eastAsia="zh-CN"/>
        </w:rPr>
        <w:t>5</w:t>
      </w:r>
      <w:r>
        <w:rPr>
          <w:rFonts w:hint="eastAsia"/>
          <w:b w:val="0"/>
          <w:bCs w:val="0"/>
          <w:color w:val="auto"/>
          <w:highlight w:val="none"/>
        </w:rPr>
        <w:t xml:space="preserve"> </w:t>
      </w:r>
      <w:r>
        <w:rPr>
          <w:rFonts w:hint="eastAsia"/>
          <w:b w:val="0"/>
          <w:bCs w:val="0"/>
          <w:color w:val="auto"/>
          <w:highlight w:val="none"/>
          <w:lang w:val="en-US" w:eastAsia="zh-CN"/>
        </w:rPr>
        <w:t xml:space="preserve"> 统计范围</w:t>
      </w:r>
      <w:bookmarkEnd w:id="8"/>
    </w:p>
    <w:p w14:paraId="014CE5B0">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5.1</w:t>
      </w:r>
      <w:r>
        <w:rPr>
          <w:rFonts w:hint="eastAsia" w:cs="Times New Roman"/>
          <w:color w:val="auto"/>
          <w:highlight w:val="none"/>
          <w:vertAlign w:val="baseline"/>
          <w:lang w:val="en-US" w:eastAsia="zh-CN"/>
        </w:rPr>
        <w:t xml:space="preserve">  </w:t>
      </w:r>
      <w:r>
        <w:rPr>
          <w:rFonts w:hint="eastAsia" w:ascii="Times New Roman" w:cs="Times New Roman"/>
          <w:color w:val="auto"/>
          <w:highlight w:val="none"/>
          <w:vertAlign w:val="baseline"/>
          <w:lang w:val="en-US" w:eastAsia="zh-CN"/>
        </w:rPr>
        <w:t>聚苯乙烯生产系统的</w:t>
      </w:r>
      <w:r>
        <w:rPr>
          <w:rFonts w:hint="default" w:ascii="Times New Roman" w:hAnsi="Times New Roman" w:cs="Times New Roman"/>
          <w:color w:val="auto"/>
          <w:highlight w:val="none"/>
          <w:vertAlign w:val="baseline"/>
          <w:lang w:val="en-US" w:eastAsia="zh-CN"/>
        </w:rPr>
        <w:t>能耗</w:t>
      </w:r>
      <w:r>
        <w:rPr>
          <w:rFonts w:hint="eastAsia" w:ascii="Times New Roman" w:cs="Times New Roman"/>
          <w:color w:val="auto"/>
          <w:highlight w:val="none"/>
          <w:vertAlign w:val="baseline"/>
          <w:lang w:val="en-US" w:eastAsia="zh-CN"/>
        </w:rPr>
        <w:t>及二氧化碳排放</w:t>
      </w:r>
      <w:r>
        <w:rPr>
          <w:rFonts w:hint="default" w:ascii="Times New Roman" w:hAnsi="Times New Roman" w:cs="Times New Roman"/>
          <w:color w:val="auto"/>
          <w:highlight w:val="none"/>
          <w:vertAlign w:val="baseline"/>
          <w:lang w:val="en-US" w:eastAsia="zh-CN"/>
        </w:rPr>
        <w:t>统计界区</w:t>
      </w:r>
      <w:r>
        <w:rPr>
          <w:rFonts w:hint="eastAsia" w:ascii="Times New Roman" w:cs="Times New Roman"/>
          <w:color w:val="auto"/>
          <w:highlight w:val="none"/>
          <w:vertAlign w:val="baseline"/>
          <w:lang w:val="en-US" w:eastAsia="zh-CN"/>
        </w:rPr>
        <w:t>包括主要生产系统、辅助生产系统和附属生产系统，聚苯乙烯能耗统计界区见图A.1和图A.2。其中：</w:t>
      </w:r>
    </w:p>
    <w:p w14:paraId="30FA353A">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a）聚苯乙烯主要生产系统</w:t>
      </w:r>
    </w:p>
    <w:p w14:paraId="3B38CC7B">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包括从原料苯乙烯等经计量进入聚苯乙烯工艺装置开始，到成品进入仓库为止的整个生产过程中各种能耗及二氧化碳排放。GPPS和HIPS的主要生产工序包括配料工段、聚合工段、脱挥工段、造粒和包装工段等，EPS的主要生产工序包括配料工段、聚合工段、洗涤工段、分离干燥工段、筛分工段、涂膜工段和包装工段等。</w:t>
      </w:r>
    </w:p>
    <w:p w14:paraId="37B57D68">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b）聚苯乙烯辅助生产系统</w:t>
      </w:r>
    </w:p>
    <w:p w14:paraId="31781190">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为满足聚苯乙烯生产需要而配置的辅助性工艺过程、设备和设施，包括供电、供水、供汽、供热、制冷、机修、电气、仪表、厂内原料场地以及安全、环保装置和各种载能工质的生产装置等。</w:t>
      </w:r>
    </w:p>
    <w:p w14:paraId="03C4CF76">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c）聚苯乙烯附属生产系统</w:t>
      </w:r>
    </w:p>
    <w:p w14:paraId="26455922">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为聚苯乙烯生产系统配置的生产调度系统和为生产服务的附属性部门和设施，包括办公室、操作室、休息室、更衣室、洗浴室、中控分析、成品检验等。</w:t>
      </w:r>
    </w:p>
    <w:p w14:paraId="694576C5">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5.2</w:t>
      </w:r>
      <w:r>
        <w:rPr>
          <w:rFonts w:hint="eastAsia" w:cs="Times New Roman"/>
          <w:color w:val="auto"/>
          <w:highlight w:val="none"/>
          <w:vertAlign w:val="baseline"/>
          <w:lang w:val="en-US" w:eastAsia="zh-CN"/>
        </w:rPr>
        <w:t xml:space="preserve">  聚苯乙烯生产系统输入和使用的能源包括聚苯乙烯主要生产系统、辅助生产系统、附属生产系统所消耗的各种一次能源量（原煤、石油、天然气等）、二次能源（电力、热力等）和生产使用的耗能工质（水、压缩空气、脱盐水等）所消耗的能源量，不包括建设和改造过程用能和生活用能（指企业系统内宿舍、学校、文化娱乐、商业服务和托儿幼教等方面用能）。上述聚苯乙烯生产系统输入和使用能源而产生的直接和间接二氧化碳排放应计入聚苯乙烯生产系统的二氧化碳排放量中。聚苯乙烯二氧化碳核算统计界区见</w:t>
      </w:r>
      <w:r>
        <w:rPr>
          <w:rFonts w:hint="default" w:ascii="Times New Roman" w:hAnsi="Times New Roman" w:cs="Times New Roman"/>
          <w:color w:val="auto"/>
          <w:highlight w:val="none"/>
          <w:vertAlign w:val="baseline"/>
          <w:lang w:val="en-US" w:eastAsia="zh-CN"/>
        </w:rPr>
        <w:t>图A.3。</w:t>
      </w:r>
    </w:p>
    <w:p w14:paraId="5CB899A8">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5.3  </w:t>
      </w:r>
      <w:r>
        <w:rPr>
          <w:rFonts w:hint="eastAsia" w:cs="Times New Roman"/>
          <w:color w:val="auto"/>
          <w:highlight w:val="none"/>
          <w:vertAlign w:val="baseline"/>
          <w:lang w:val="en-US" w:eastAsia="zh-CN"/>
        </w:rPr>
        <w:t>聚苯乙烯生产系统输出能源是指聚苯乙烯生产系统向外输出的供其他产品或装置使用的电力和热力。聚苯乙烯生产系统界区内的废气、废液、废渣等未回收使用的、无计量的、没有实测热值以及不作为能源、再次利用的，均不得计入输出能源。上述聚苯乙烯生产系统输出能源而产生的直接和间接二氧</w:t>
      </w:r>
    </w:p>
    <w:p w14:paraId="5B3C86D4">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p>
    <w:p w14:paraId="437EFBE7">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化碳排放应在聚苯乙烯生产系统碳排放量中予以扣除。</w:t>
      </w:r>
    </w:p>
    <w:p w14:paraId="28B24190">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5.4  </w:t>
      </w:r>
      <w:r>
        <w:rPr>
          <w:rFonts w:hint="eastAsia" w:cs="Times New Roman"/>
          <w:color w:val="auto"/>
          <w:highlight w:val="none"/>
          <w:vertAlign w:val="baseline"/>
          <w:lang w:val="en-US" w:eastAsia="zh-CN"/>
        </w:rPr>
        <w:t>统计聚苯乙烯生产系统回收的能量时，回收利用的能量用于本系统时不应作为输入能源再计入；向外输出时，应计入聚苯乙烯生产系统向外输出的能源。</w:t>
      </w:r>
    </w:p>
    <w:p w14:paraId="257AF97F">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highlight w:val="none"/>
          <w:lang w:val="en-US" w:eastAsia="zh-CN" w:bidi="ar-SA"/>
        </w:rPr>
        <w:t xml:space="preserve">5.5  </w:t>
      </w:r>
      <w:r>
        <w:rPr>
          <w:rFonts w:hint="eastAsia" w:cs="Times New Roman"/>
          <w:color w:val="auto"/>
          <w:highlight w:val="none"/>
          <w:vertAlign w:val="baseline"/>
          <w:lang w:val="en-US" w:eastAsia="zh-CN"/>
        </w:rPr>
        <w:t>聚苯乙烯企业涉及固碳、碳捕集与碳封存、碳汇等二氧化碳清除活动，以及使用绿色电力，不应直接扣减。</w:t>
      </w:r>
    </w:p>
    <w:p w14:paraId="3ED87F5D">
      <w:pPr>
        <w:pStyle w:val="39"/>
        <w:numPr>
          <w:ilvl w:val="0"/>
          <w:numId w:val="0"/>
        </w:numPr>
        <w:spacing w:before="312" w:after="312"/>
        <w:outlineLvl w:val="0"/>
        <w:rPr>
          <w:rFonts w:hint="eastAsia"/>
          <w:b w:val="0"/>
          <w:bCs w:val="0"/>
          <w:color w:val="auto"/>
          <w:highlight w:val="none"/>
          <w:lang w:val="en-US" w:eastAsia="zh-CN"/>
        </w:rPr>
      </w:pPr>
      <w:r>
        <w:rPr>
          <w:rFonts w:hint="eastAsia"/>
          <w:b w:val="0"/>
          <w:bCs w:val="0"/>
          <w:color w:val="auto"/>
          <w:highlight w:val="none"/>
          <w:lang w:val="en-US" w:eastAsia="zh-CN"/>
        </w:rPr>
        <w:t>6  计算方法</w:t>
      </w:r>
    </w:p>
    <w:p w14:paraId="157E540C">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6.1</w:t>
      </w:r>
      <w:r>
        <w:rPr>
          <w:rFonts w:hint="eastAsia" w:cs="Times New Roman"/>
          <w:color w:val="auto"/>
          <w:highlight w:val="none"/>
          <w:vertAlign w:val="baseline"/>
          <w:lang w:val="en-US" w:eastAsia="zh-CN"/>
        </w:rPr>
        <w:t xml:space="preserve">  聚苯乙烯综合能耗按式（1）计算：</w:t>
      </w:r>
    </w:p>
    <w:p w14:paraId="210A45E8">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cs="Times New Roman"/>
          <w:color w:val="auto"/>
          <w:highlight w:val="none"/>
          <w:vertAlign w:val="baseline"/>
          <w:lang w:val="en-US" w:eastAsia="zh-CN"/>
        </w:rPr>
      </w:pPr>
      <w:r>
        <w:rPr>
          <w:rFonts w:hint="eastAsia" w:hAnsi="Cambria Math" w:cs="Times New Roman"/>
          <w:i w:val="0"/>
          <w:color w:val="auto"/>
          <w:sz w:val="21"/>
          <w:szCs w:val="22"/>
          <w:highlight w:val="none"/>
          <w:vertAlign w:val="baseline"/>
          <w:lang w:val="en-US" w:eastAsia="zh-CN" w:bidi="ar-SA"/>
        </w:rPr>
        <w:tab/>
      </w:r>
      <m:oMath>
        <m:r>
          <m:rPr>
            <m:sty m:val="p"/>
          </m:rPr>
          <w:rPr>
            <w:rFonts w:hint="default" w:ascii="Cambria Math" w:hAnsi="Cambria Math" w:cs="Times New Roman"/>
            <w:color w:val="auto"/>
            <w:sz w:val="21"/>
            <w:szCs w:val="22"/>
            <w:highlight w:val="none"/>
            <w:vertAlign w:val="baseline"/>
            <w:lang w:val="en-US" w:eastAsia="zh-CN" w:bidi="ar-SA"/>
          </w:rPr>
          <m:t>E=</m:t>
        </m:r>
        <m:nary>
          <m:naryPr>
            <m:chr m:val="∑"/>
            <m:limLoc m:val="undOvr"/>
            <m:ctrlPr>
              <w:rPr>
                <w:rFonts w:hint="default" w:ascii="Cambria Math" w:hAnsi="Cambria Math" w:cs="Times New Roman"/>
                <w:color w:val="auto"/>
                <w:sz w:val="21"/>
                <w:szCs w:val="22"/>
                <w:highlight w:val="none"/>
                <w:vertAlign w:val="baseline"/>
                <w:lang w:val="en-US" w:eastAsia="zh-CN" w:bidi="ar-SA"/>
              </w:rPr>
            </m:ctrlPr>
          </m:naryPr>
          <m:sub>
            <m:r>
              <m:rPr>
                <m:sty m:val="p"/>
              </m:rPr>
              <w:rPr>
                <w:rFonts w:hint="eastAsia" w:ascii="Cambria Math" w:hAnsi="Cambria Math" w:cs="Times New Roman"/>
                <w:color w:val="auto"/>
                <w:sz w:val="21"/>
                <w:szCs w:val="22"/>
                <w:highlight w:val="none"/>
                <w:vertAlign w:val="baseline"/>
                <w:lang w:val="en-US" w:eastAsia="zh-CN" w:bidi="ar-SA"/>
              </w:rPr>
              <m:t>i=1</m:t>
            </m:r>
            <m:ctrlPr>
              <w:rPr>
                <w:rFonts w:hint="default" w:ascii="Cambria Math" w:hAnsi="Cambria Math" w:cs="Times New Roman"/>
                <w:color w:val="auto"/>
                <w:sz w:val="21"/>
                <w:szCs w:val="22"/>
                <w:highlight w:val="none"/>
                <w:vertAlign w:val="baseline"/>
                <w:lang w:val="en-US" w:eastAsia="zh-CN" w:bidi="ar-SA"/>
              </w:rPr>
            </m:ctrlPr>
          </m:sub>
          <m:sup>
            <m:r>
              <m:rPr>
                <m:sty m:val="p"/>
              </m:rPr>
              <w:rPr>
                <w:rFonts w:hint="eastAsia" w:ascii="Cambria Math" w:hAnsi="Cambria Math" w:cs="Times New Roman"/>
                <w:color w:val="auto"/>
                <w:sz w:val="21"/>
                <w:szCs w:val="22"/>
                <w:highlight w:val="none"/>
                <w:vertAlign w:val="baseline"/>
                <w:lang w:val="en-US" w:eastAsia="zh-CN" w:bidi="ar-SA"/>
              </w:rPr>
              <m:t>n</m:t>
            </m:r>
            <m:ctrlPr>
              <w:rPr>
                <w:rFonts w:hint="default" w:ascii="Cambria Math" w:hAnsi="Cambria Math" w:cs="Times New Roman"/>
                <w:color w:val="auto"/>
                <w:sz w:val="21"/>
                <w:szCs w:val="22"/>
                <w:highlight w:val="none"/>
                <w:vertAlign w:val="baseline"/>
                <w:lang w:val="en-US" w:eastAsia="zh-CN" w:bidi="ar-SA"/>
              </w:rPr>
            </m:ctrlPr>
          </m:sup>
          <m:e>
            <m:r>
              <m:rPr>
                <m:sty m:val="p"/>
              </m:rPr>
              <w:rPr>
                <w:rFonts w:hint="eastAsia" w:ascii="Cambria Math" w:hAnsi="Cambria Math" w:cs="Times New Roman"/>
                <w:color w:val="auto"/>
                <w:sz w:val="21"/>
                <w:szCs w:val="22"/>
                <w:highlight w:val="none"/>
                <w:vertAlign w:val="baseline"/>
                <w:lang w:val="en-US" w:eastAsia="zh-CN" w:bidi="ar-SA"/>
              </w:rPr>
              <m:t>（</m:t>
            </m:r>
            <m:sSub>
              <m:sSubPr>
                <m:ctrlPr>
                  <w:rPr>
                    <w:rFonts w:hint="eastAsia" w:ascii="Cambria Math" w:hAnsi="Cambria Math" w:cs="Times New Roman"/>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M</m:t>
                </m:r>
                <m:ctrlPr>
                  <w:rPr>
                    <w:rFonts w:hint="eastAsia" w:ascii="Cambria Math" w:hAnsi="Cambria Math" w:cs="Times New Roman"/>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i</m:t>
                </m:r>
                <m:ctrlPr>
                  <w:rPr>
                    <w:rFonts w:hint="eastAsia" w:ascii="Cambria Math" w:hAnsi="Cambria Math" w:cs="Times New Roman"/>
                    <w:color w:val="auto"/>
                    <w:sz w:val="21"/>
                    <w:szCs w:val="22"/>
                    <w:highlight w:val="none"/>
                    <w:vertAlign w:val="baseline"/>
                    <w:lang w:val="en-US" w:eastAsia="zh-CN" w:bidi="ar-SA"/>
                  </w:rPr>
                </m:ctrlPr>
              </m:sub>
            </m:sSub>
            <m:sSub>
              <m:sSubPr>
                <m:ctrlPr>
                  <w:rPr>
                    <w:rFonts w:hint="eastAsia" w:ascii="Cambria Math" w:hAnsi="Cambria Math" w:cs="Times New Roman"/>
                    <w:i w:val="0"/>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R</m:t>
                </m:r>
                <m:ctrlPr>
                  <w:rPr>
                    <w:rFonts w:hint="eastAsia" w:ascii="Cambria Math" w:hAnsi="Cambria Math" w:cs="Times New Roman"/>
                    <w:i w:val="0"/>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i</m:t>
                </m:r>
                <m:ctrlPr>
                  <w:rPr>
                    <w:rFonts w:hint="eastAsia" w:ascii="Cambria Math" w:hAnsi="Cambria Math" w:cs="Times New Roman"/>
                    <w:i w:val="0"/>
                    <w:color w:val="auto"/>
                    <w:sz w:val="21"/>
                    <w:szCs w:val="22"/>
                    <w:highlight w:val="none"/>
                    <w:vertAlign w:val="baseline"/>
                    <w:lang w:val="en-US" w:eastAsia="zh-CN" w:bidi="ar-SA"/>
                  </w:rPr>
                </m:ctrlPr>
              </m:sub>
            </m:sSub>
            <m:r>
              <m:rPr>
                <m:sty m:val="p"/>
              </m:rPr>
              <w:rPr>
                <w:rFonts w:hint="eastAsia" w:ascii="Cambria Math" w:hAnsi="Cambria Math" w:cs="Times New Roman"/>
                <w:color w:val="auto"/>
                <w:sz w:val="21"/>
                <w:szCs w:val="22"/>
                <w:highlight w:val="none"/>
                <w:vertAlign w:val="baseline"/>
                <w:lang w:val="en-US" w:eastAsia="zh-CN" w:bidi="ar-SA"/>
              </w:rPr>
              <m:t>）+</m:t>
            </m:r>
            <m:nary>
              <m:naryPr>
                <m:chr m:val="∑"/>
                <m:limLoc m:val="undOvr"/>
                <m:ctrlPr>
                  <w:rPr>
                    <w:rFonts w:hint="eastAsia" w:ascii="Cambria Math" w:hAnsi="Cambria Math" w:cs="Times New Roman"/>
                    <w:color w:val="auto"/>
                    <w:sz w:val="21"/>
                    <w:szCs w:val="22"/>
                    <w:highlight w:val="none"/>
                    <w:vertAlign w:val="baseline"/>
                    <w:lang w:val="en-US" w:eastAsia="zh-CN" w:bidi="ar-SA"/>
                  </w:rPr>
                </m:ctrlPr>
              </m:naryPr>
              <m:sub>
                <m:r>
                  <m:rPr>
                    <m:sty m:val="p"/>
                  </m:rPr>
                  <w:rPr>
                    <w:rFonts w:hint="eastAsia" w:ascii="Cambria Math" w:hAnsi="Cambria Math" w:cs="Times New Roman"/>
                    <w:color w:val="auto"/>
                    <w:sz w:val="21"/>
                    <w:szCs w:val="22"/>
                    <w:highlight w:val="none"/>
                    <w:vertAlign w:val="baseline"/>
                    <w:lang w:val="en-US" w:eastAsia="zh-CN" w:bidi="ar-SA"/>
                  </w:rPr>
                  <m:t>j=1</m:t>
                </m:r>
                <m:ctrlPr>
                  <w:rPr>
                    <w:rFonts w:hint="eastAsia" w:ascii="Cambria Math" w:hAnsi="Cambria Math" w:cs="Times New Roman"/>
                    <w:color w:val="auto"/>
                    <w:sz w:val="21"/>
                    <w:szCs w:val="22"/>
                    <w:highlight w:val="none"/>
                    <w:vertAlign w:val="baseline"/>
                    <w:lang w:val="en-US" w:eastAsia="zh-CN" w:bidi="ar-SA"/>
                  </w:rPr>
                </m:ctrlPr>
              </m:sub>
              <m:sup>
                <m:r>
                  <m:rPr>
                    <m:sty m:val="p"/>
                  </m:rPr>
                  <w:rPr>
                    <w:rFonts w:hint="eastAsia" w:ascii="Cambria Math" w:hAnsi="Cambria Math" w:cs="Times New Roman"/>
                    <w:color w:val="auto"/>
                    <w:sz w:val="21"/>
                    <w:szCs w:val="22"/>
                    <w:highlight w:val="none"/>
                    <w:vertAlign w:val="baseline"/>
                    <w:lang w:val="en-US" w:eastAsia="zh-CN" w:bidi="ar-SA"/>
                  </w:rPr>
                  <m:t>m</m:t>
                </m:r>
                <m:ctrlPr>
                  <w:rPr>
                    <w:rFonts w:hint="eastAsia" w:ascii="Cambria Math" w:hAnsi="Cambria Math" w:cs="Times New Roman"/>
                    <w:color w:val="auto"/>
                    <w:sz w:val="21"/>
                    <w:szCs w:val="22"/>
                    <w:highlight w:val="none"/>
                    <w:vertAlign w:val="baseline"/>
                    <w:lang w:val="en-US" w:eastAsia="zh-CN" w:bidi="ar-SA"/>
                  </w:rPr>
                </m:ctrlPr>
              </m:sup>
              <m:e>
                <m:sSub>
                  <m:sSubPr>
                    <m:ctrlPr>
                      <w:rPr>
                        <w:rFonts w:hint="eastAsia" w:ascii="Cambria Math" w:hAnsi="Cambria Math" w:cs="Times New Roman"/>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Q</m:t>
                    </m:r>
                    <m:ctrlPr>
                      <w:rPr>
                        <w:rFonts w:hint="eastAsia" w:ascii="Cambria Math" w:hAnsi="Cambria Math" w:cs="Times New Roman"/>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j</m:t>
                    </m:r>
                    <m:ctrlPr>
                      <w:rPr>
                        <w:rFonts w:hint="eastAsia" w:ascii="Cambria Math" w:hAnsi="Cambria Math" w:cs="Times New Roman"/>
                        <w:color w:val="auto"/>
                        <w:sz w:val="21"/>
                        <w:szCs w:val="22"/>
                        <w:highlight w:val="none"/>
                        <w:vertAlign w:val="baseline"/>
                        <w:lang w:val="en-US" w:eastAsia="zh-CN" w:bidi="ar-SA"/>
                      </w:rPr>
                    </m:ctrlPr>
                  </m:sub>
                </m:sSub>
                <m:ctrlPr>
                  <w:rPr>
                    <w:rFonts w:hint="eastAsia" w:ascii="Cambria Math" w:hAnsi="Cambria Math" w:cs="Times New Roman"/>
                    <w:color w:val="auto"/>
                    <w:sz w:val="21"/>
                    <w:szCs w:val="22"/>
                    <w:highlight w:val="none"/>
                    <w:vertAlign w:val="baseline"/>
                    <w:lang w:val="en-US" w:eastAsia="zh-CN" w:bidi="ar-SA"/>
                  </w:rPr>
                </m:ctrlPr>
              </m:e>
            </m:nary>
            <m:ctrlPr>
              <w:rPr>
                <w:rFonts w:hint="default" w:ascii="Cambria Math" w:hAnsi="Cambria Math" w:cs="Times New Roman"/>
                <w:color w:val="auto"/>
                <w:sz w:val="21"/>
                <w:szCs w:val="22"/>
                <w:highlight w:val="none"/>
                <w:vertAlign w:val="baseline"/>
                <w:lang w:val="en-US" w:eastAsia="zh-CN" w:bidi="ar-SA"/>
              </w:rPr>
            </m:ctrlPr>
          </m:e>
        </m:nary>
      </m:oMath>
      <w:r>
        <w:rPr>
          <w:rFonts w:hint="eastAsia" w:hAnsi="Cambria Math" w:cs="Times New Roman"/>
          <w:i w:val="0"/>
          <w:color w:val="auto"/>
          <w:sz w:val="21"/>
          <w:szCs w:val="22"/>
          <w:highlight w:val="none"/>
          <w:vertAlign w:val="baseline"/>
          <w:lang w:val="en-US" w:eastAsia="zh-CN" w:bidi="ar-SA"/>
        </w:rPr>
        <w:tab/>
      </w:r>
      <w:r>
        <w:rPr>
          <w:rFonts w:hint="eastAsia" w:hAnsi="Cambria Math" w:cs="Times New Roman"/>
          <w:i w:val="0"/>
          <w:color w:val="auto"/>
          <w:sz w:val="21"/>
          <w:szCs w:val="22"/>
          <w:highlight w:val="none"/>
          <w:vertAlign w:val="baseline"/>
          <w:lang w:val="en-US" w:eastAsia="zh-CN" w:bidi="ar-SA"/>
        </w:rPr>
        <w:t>（1）</w:t>
      </w:r>
    </w:p>
    <w:p w14:paraId="4833C276">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A9ADA82">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聚苯乙烯综合能耗</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w:t>
      </w:r>
      <w:r>
        <w:rPr>
          <w:rFonts w:hint="default" w:cs="Times New Roman"/>
          <w:color w:val="auto"/>
          <w:highlight w:val="none"/>
          <w:vertAlign w:val="baseline"/>
          <w:lang w:val="en-US" w:eastAsia="zh-CN"/>
        </w:rPr>
        <w:t>（kg</w:t>
      </w:r>
      <w:r>
        <w:rPr>
          <w:rFonts w:hint="eastAsia" w:cs="Times New Roman"/>
          <w:color w:val="auto"/>
          <w:highlight w:val="none"/>
          <w:vertAlign w:val="baseline"/>
          <w:lang w:val="en-US" w:eastAsia="zh-CN"/>
        </w:rPr>
        <w:t>c</w:t>
      </w:r>
      <w:r>
        <w:rPr>
          <w:rFonts w:hint="default" w:cs="Times New Roman"/>
          <w:color w:val="auto"/>
          <w:highlight w:val="none"/>
          <w:vertAlign w:val="baseline"/>
          <w:lang w:val="en-US" w:eastAsia="zh-CN"/>
        </w:rPr>
        <w:t>e）；</w:t>
      </w:r>
    </w:p>
    <w:p w14:paraId="60BC7957">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M</w:t>
      </w:r>
      <w:r>
        <w:rPr>
          <w:rFonts w:hint="default" w:cs="Times New Roman"/>
          <w:color w:val="auto"/>
          <w:highlight w:val="none"/>
          <w:vertAlign w:val="subscript"/>
          <w:lang w:val="en-US" w:eastAsia="zh-CN"/>
        </w:rPr>
        <w:t>i</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统计报告期内输入的第i种能源</w:t>
      </w:r>
      <w:r>
        <w:rPr>
          <w:rFonts w:hint="default" w:cs="Times New Roman"/>
          <w:color w:val="auto"/>
          <w:highlight w:val="none"/>
          <w:vertAlign w:val="baseline"/>
          <w:lang w:val="en-US" w:eastAsia="zh-CN"/>
        </w:rPr>
        <w:t>的实物</w:t>
      </w:r>
      <w:r>
        <w:rPr>
          <w:rFonts w:hint="eastAsia" w:cs="Times New Roman"/>
          <w:color w:val="auto"/>
          <w:highlight w:val="none"/>
          <w:vertAlign w:val="baseline"/>
          <w:lang w:val="en-US" w:eastAsia="zh-CN"/>
        </w:rPr>
        <w:t>量（电、蒸汽、燃料），向统计界区内输入实物量计为正值，输出计为负值；</w:t>
      </w:r>
    </w:p>
    <w:p w14:paraId="66444EA1">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R</w:t>
      </w:r>
      <w:r>
        <w:rPr>
          <w:rFonts w:hint="default" w:cs="Times New Roman"/>
          <w:color w:val="auto"/>
          <w:highlight w:val="none"/>
          <w:vertAlign w:val="subscript"/>
          <w:lang w:val="en-US" w:eastAsia="zh-CN"/>
        </w:rPr>
        <w:t>i</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统计报告期内产品生产过程中输入的第i种能源的折标准煤系数</w:t>
      </w:r>
      <w:r>
        <w:rPr>
          <w:rFonts w:hint="default" w:cs="Times New Roman"/>
          <w:color w:val="auto"/>
          <w:highlight w:val="none"/>
          <w:vertAlign w:val="baseline"/>
          <w:lang w:val="en-US" w:eastAsia="zh-CN"/>
        </w:rPr>
        <w:t>；</w:t>
      </w:r>
    </w:p>
    <w:p w14:paraId="0CA368D0">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Q</w:t>
      </w:r>
      <w:r>
        <w:rPr>
          <w:rFonts w:hint="eastAsia" w:cs="Times New Roman"/>
          <w:color w:val="auto"/>
          <w:highlight w:val="none"/>
          <w:vertAlign w:val="subscript"/>
          <w:lang w:val="en-US" w:eastAsia="zh-CN"/>
        </w:rPr>
        <w:t>j</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统计报告期内产品生产过程中</w:t>
      </w:r>
      <w:r>
        <w:rPr>
          <w:rFonts w:hint="default" w:cs="Times New Roman"/>
          <w:color w:val="auto"/>
          <w:highlight w:val="none"/>
          <w:vertAlign w:val="baseline"/>
          <w:lang w:val="en-US" w:eastAsia="zh-CN"/>
        </w:rPr>
        <w:t>与外界交换的</w:t>
      </w:r>
      <w:r>
        <w:rPr>
          <w:rFonts w:hint="eastAsia" w:cs="Times New Roman"/>
          <w:color w:val="auto"/>
          <w:highlight w:val="none"/>
          <w:vertAlign w:val="baseline"/>
          <w:lang w:val="en-US" w:eastAsia="zh-CN"/>
        </w:rPr>
        <w:t>第j种</w:t>
      </w:r>
      <w:r>
        <w:rPr>
          <w:rFonts w:hint="default" w:cs="Times New Roman"/>
          <w:color w:val="auto"/>
          <w:highlight w:val="none"/>
          <w:vertAlign w:val="baseline"/>
          <w:lang w:val="en-US" w:eastAsia="zh-CN"/>
        </w:rPr>
        <w:t>能</w:t>
      </w:r>
      <w:r>
        <w:rPr>
          <w:rFonts w:hint="eastAsia" w:cs="Times New Roman"/>
          <w:color w:val="auto"/>
          <w:highlight w:val="none"/>
          <w:vertAlign w:val="baseline"/>
          <w:lang w:val="en-US" w:eastAsia="zh-CN"/>
        </w:rPr>
        <w:t>源</w:t>
      </w:r>
      <w:r>
        <w:rPr>
          <w:rFonts w:hint="default" w:cs="Times New Roman"/>
          <w:color w:val="auto"/>
          <w:highlight w:val="none"/>
          <w:vertAlign w:val="baseline"/>
          <w:lang w:val="en-US" w:eastAsia="zh-CN"/>
        </w:rPr>
        <w:t>量</w:t>
      </w:r>
      <w:r>
        <w:rPr>
          <w:rFonts w:hint="eastAsia" w:cs="Times New Roman"/>
          <w:color w:val="auto"/>
          <w:highlight w:val="none"/>
          <w:vertAlign w:val="baseline"/>
          <w:lang w:val="en-US" w:eastAsia="zh-CN"/>
        </w:rPr>
        <w:t>，单位为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w:t>
      </w:r>
      <w:r>
        <w:rPr>
          <w:rFonts w:hint="default" w:cs="Times New Roman"/>
          <w:color w:val="auto"/>
          <w:highlight w:val="none"/>
          <w:vertAlign w:val="baseline"/>
          <w:lang w:val="en-US" w:eastAsia="zh-CN"/>
        </w:rPr>
        <w:t>（kg</w:t>
      </w:r>
      <w:r>
        <w:rPr>
          <w:rFonts w:hint="eastAsia" w:cs="Times New Roman"/>
          <w:color w:val="auto"/>
          <w:highlight w:val="none"/>
          <w:vertAlign w:val="baseline"/>
          <w:lang w:val="en-US" w:eastAsia="zh-CN"/>
        </w:rPr>
        <w:t>c</w:t>
      </w: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，向聚苯乙烯生产系统输入的能源计为正值，从聚苯乙烯生产系统输出的能源计为负值。</w:t>
      </w:r>
    </w:p>
    <w:p w14:paraId="1C92B7D9">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6.2 </w:t>
      </w:r>
      <w:r>
        <w:rPr>
          <w:rFonts w:hint="eastAsia" w:cs="Times New Roman"/>
          <w:color w:val="auto"/>
          <w:highlight w:val="none"/>
          <w:vertAlign w:val="baseline"/>
          <w:lang w:val="en-US" w:eastAsia="zh-CN"/>
        </w:rPr>
        <w:t xml:space="preserve"> 聚苯乙烯单位产品综合能耗按式（2）计算：</w:t>
      </w:r>
    </w:p>
    <w:p w14:paraId="39917240">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cs="Times New Roman"/>
          <w:color w:val="auto"/>
          <w:highlight w:val="none"/>
          <w:vertAlign w:val="baseline"/>
          <w:lang w:val="en-US" w:eastAsia="zh-CN"/>
        </w:rPr>
      </w:pPr>
      <w:r>
        <w:rPr>
          <w:rFonts w:hint="eastAsia" w:hAnsi="Cambria Math" w:cs="Times New Roman"/>
          <w:i w:val="0"/>
          <w:color w:val="auto"/>
          <w:sz w:val="21"/>
          <w:szCs w:val="22"/>
          <w:highlight w:val="none"/>
          <w:vertAlign w:val="baseline"/>
          <w:lang w:val="en-US" w:eastAsia="zh-CN" w:bidi="ar-SA"/>
        </w:rPr>
        <w:tab/>
      </w:r>
      <m:oMath>
        <m:r>
          <m:rPr>
            <m:sty m:val="p"/>
          </m:rPr>
          <w:rPr>
            <w:rFonts w:hint="eastAsia" w:ascii="Cambria Math" w:hAnsi="Cambria Math" w:cs="Times New Roman"/>
            <w:color w:val="auto"/>
            <w:sz w:val="21"/>
            <w:szCs w:val="22"/>
            <w:highlight w:val="none"/>
            <w:vertAlign w:val="baseline"/>
            <w:lang w:val="en-US" w:eastAsia="zh-CN" w:bidi="ar-SA"/>
          </w:rPr>
          <m:t>e=</m:t>
        </m:r>
        <m:f>
          <m:fPr>
            <m:ctrlPr>
              <w:rPr>
                <w:rFonts w:hint="eastAsia" w:ascii="Cambria Math" w:hAnsi="Cambria Math" w:cs="Times New Roman"/>
                <w:color w:val="auto"/>
                <w:sz w:val="21"/>
                <w:szCs w:val="22"/>
                <w:highlight w:val="none"/>
                <w:vertAlign w:val="baseline"/>
                <w:lang w:val="en-US" w:eastAsia="zh-CN" w:bidi="ar-SA"/>
              </w:rPr>
            </m:ctrlPr>
          </m:fPr>
          <m:num>
            <m:r>
              <m:rPr>
                <m:sty m:val="p"/>
              </m:rPr>
              <w:rPr>
                <w:rFonts w:hint="default" w:ascii="Cambria Math" w:hAnsi="Cambria Math" w:cs="Times New Roman"/>
                <w:color w:val="auto"/>
                <w:sz w:val="21"/>
                <w:szCs w:val="22"/>
                <w:highlight w:val="none"/>
                <w:vertAlign w:val="baseline"/>
                <w:lang w:val="en-US" w:eastAsia="zh-CN" w:bidi="ar-SA"/>
              </w:rPr>
              <m:t>E</m:t>
            </m:r>
            <m:ctrlPr>
              <w:rPr>
                <w:rFonts w:hint="eastAsia" w:ascii="Cambria Math" w:hAnsi="Cambria Math" w:cs="Times New Roman"/>
                <w:color w:val="auto"/>
                <w:sz w:val="21"/>
                <w:szCs w:val="22"/>
                <w:highlight w:val="none"/>
                <w:vertAlign w:val="baseline"/>
                <w:lang w:val="en-US" w:eastAsia="zh-CN" w:bidi="ar-SA"/>
              </w:rPr>
            </m:ctrlPr>
          </m:num>
          <m:den>
            <m:r>
              <m:rPr>
                <m:sty m:val="p"/>
              </m:rPr>
              <w:rPr>
                <w:rFonts w:hint="default" w:ascii="Cambria Math" w:hAnsi="Cambria Math" w:cs="Times New Roman"/>
                <w:color w:val="auto"/>
                <w:sz w:val="21"/>
                <w:szCs w:val="22"/>
                <w:highlight w:val="none"/>
                <w:vertAlign w:val="baseline"/>
                <w:lang w:val="en-US" w:eastAsia="zh-CN" w:bidi="ar-SA"/>
              </w:rPr>
              <m:t>P</m:t>
            </m:r>
            <m:ctrlPr>
              <w:rPr>
                <w:rFonts w:hint="eastAsia" w:ascii="Cambria Math" w:hAnsi="Cambria Math" w:cs="Times New Roman"/>
                <w:color w:val="auto"/>
                <w:sz w:val="21"/>
                <w:szCs w:val="22"/>
                <w:highlight w:val="none"/>
                <w:vertAlign w:val="baseline"/>
                <w:lang w:val="en-US" w:eastAsia="zh-CN" w:bidi="ar-SA"/>
              </w:rPr>
            </m:ctrlPr>
          </m:den>
        </m:f>
      </m:oMath>
      <w:r>
        <w:rPr>
          <w:rFonts w:hint="eastAsia" w:hAnsi="Cambria Math" w:cs="Times New Roman"/>
          <w:i w:val="0"/>
          <w:color w:val="auto"/>
          <w:sz w:val="21"/>
          <w:szCs w:val="22"/>
          <w:highlight w:val="none"/>
          <w:vertAlign w:val="baseline"/>
          <w:lang w:val="en-US" w:eastAsia="zh-CN" w:bidi="ar-SA"/>
        </w:rPr>
        <w:tab/>
      </w:r>
      <w:r>
        <w:rPr>
          <w:rFonts w:hint="eastAsia" w:hAnsi="Cambria Math" w:cs="Times New Roman"/>
          <w:i w:val="0"/>
          <w:color w:val="auto"/>
          <w:sz w:val="21"/>
          <w:szCs w:val="22"/>
          <w:highlight w:val="none"/>
          <w:vertAlign w:val="baseline"/>
          <w:lang w:val="en-US" w:eastAsia="zh-CN" w:bidi="ar-SA"/>
        </w:rPr>
        <w:t>（2）</w:t>
      </w:r>
    </w:p>
    <w:p w14:paraId="702D13F6">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5C4BE4F0">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e — 聚苯乙烯单位产品综合能耗，单位为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煤/吨（kgce/t）；</w:t>
      </w:r>
    </w:p>
    <w:p w14:paraId="019F9365">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 xml:space="preserve"> — 统计报告期内聚苯乙烯综合能耗，单位为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煤（kgce）；</w:t>
      </w:r>
    </w:p>
    <w:p w14:paraId="70A07585">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P — 统计报告期内聚苯乙烯合格产品（GPPS应符合GBT 12671-2008 标准要求、HIPS应符合 GBT 37198-2018标准要求）的实物产量，单位为吨（t）。</w:t>
      </w:r>
    </w:p>
    <w:p w14:paraId="06D8C0D6">
      <w:pPr>
        <w:keepNext w:val="0"/>
        <w:keepLines w:val="0"/>
        <w:pageBreakBefore w:val="0"/>
        <w:widowControl w:val="0"/>
        <w:kinsoku/>
        <w:wordWrap/>
        <w:overflowPunct/>
        <w:topLinePunct w:val="0"/>
        <w:autoSpaceDE w:val="0"/>
        <w:autoSpaceDN w:val="0"/>
        <w:bidi w:val="0"/>
        <w:adjustRightInd/>
        <w:snapToGrid w:val="0"/>
        <w:ind w:left="0" w:leftChars="0" w:firstLine="0" w:firstLineChars="0"/>
        <w:jc w:val="both"/>
        <w:textAlignment w:val="auto"/>
        <w:rPr>
          <w:rFonts w:hint="eastAsia" w:ascii="宋体" w:hAnsi="Times New Roman" w:eastAsia="宋体" w:cs="Times New Roman"/>
          <w:color w:val="auto"/>
          <w:sz w:val="21"/>
          <w:szCs w:val="22"/>
          <w:highlight w:val="none"/>
          <w:vertAlign w:val="baseline"/>
          <w:lang w:val="en-US" w:eastAsia="zh-CN" w:bidi="ar-SA"/>
        </w:rPr>
      </w:pPr>
      <w:r>
        <w:rPr>
          <w:rFonts w:hint="eastAsia" w:ascii="黑体" w:hAnsi="黑体" w:eastAsia="黑体" w:cs="Times New Roman"/>
          <w:b w:val="0"/>
          <w:bCs w:val="0"/>
          <w:color w:val="auto"/>
          <w:sz w:val="21"/>
          <w:szCs w:val="21"/>
          <w:lang w:val="en-US" w:eastAsia="zh-CN" w:bidi="ar-SA"/>
        </w:rPr>
        <w:t xml:space="preserve">6.3  </w:t>
      </w:r>
      <w:r>
        <w:rPr>
          <w:rFonts w:hint="eastAsia" w:ascii="宋体" w:hAnsi="Times New Roman" w:eastAsia="宋体" w:cs="Times New Roman"/>
          <w:color w:val="auto"/>
          <w:kern w:val="0"/>
          <w:sz w:val="21"/>
          <w:szCs w:val="22"/>
          <w:highlight w:val="none"/>
          <w:vertAlign w:val="baseline"/>
          <w:lang w:val="en-US" w:eastAsia="zh-CN" w:bidi="ar-SA"/>
        </w:rPr>
        <w:t>各种能源应按低位发热量折算为标准煤。各种能源的发热量以企业在报告期内的实测值为准，蒸汽、蒸汽凝结水按照实测的焓值、压力计算，电力采用当量值折算标准煤。没有实测条件的，可参考表 B.1 各种能源折标准煤参考系数进行折算。</w:t>
      </w:r>
    </w:p>
    <w:p w14:paraId="6761565B">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ascii="黑体" w:hAnsi="黑体" w:eastAsia="黑体" w:cs="Times New Roman"/>
          <w:b w:val="0"/>
          <w:bCs w:val="0"/>
          <w:color w:val="auto"/>
          <w:sz w:val="21"/>
          <w:szCs w:val="21"/>
          <w:lang w:val="en-US" w:eastAsia="zh-CN" w:bidi="ar-SA"/>
        </w:rPr>
        <w:t xml:space="preserve">6.4  </w:t>
      </w:r>
      <w:r>
        <w:rPr>
          <w:rFonts w:hint="eastAsia" w:cs="Times New Roman"/>
          <w:color w:val="auto"/>
          <w:highlight w:val="none"/>
          <w:vertAlign w:val="baseline"/>
          <w:lang w:val="en-US" w:eastAsia="zh-CN"/>
        </w:rPr>
        <w:t>聚苯乙烯产品二氧化碳排放总量按式（3）计算：</w:t>
      </w:r>
    </w:p>
    <w:p w14:paraId="28441222">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i w:val="0"/>
                <w:color w:val="auto"/>
                <w:sz w:val="21"/>
                <w:szCs w:val="21"/>
                <w:lang w:val="en-US" w:eastAsia="zh-CN" w:bidi="ar-SA"/>
              </w:rPr>
            </m:ctrlPr>
          </m:e>
          <m:sub>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i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i w:val="0"/>
                    <w:color w:val="auto"/>
                    <w:sz w:val="21"/>
                    <w:szCs w:val="21"/>
                    <w:lang w:val="en-US" w:eastAsia="zh-CN" w:bidi="ar-SA"/>
                  </w:rPr>
                </m:ctrlPr>
              </m:sub>
            </m:sSub>
            <m:ctrlPr>
              <w:rPr>
                <w:rFonts w:hint="default" w:ascii="Cambria Math" w:hAnsi="Cambria Math" w:eastAsia="黑体" w:cs="Times New Roman"/>
                <w:b w:val="0"/>
                <w:bCs w:val="0"/>
                <w:i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燃烧</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（3）</w:t>
      </w:r>
    </w:p>
    <w:p w14:paraId="4FE1A691">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6539D6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CO</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2</m:t>
                </m:r>
                <m:ctrlPr>
                  <w:rPr>
                    <w:rFonts w:hint="eastAsia" w:ascii="Cambria Math" w:hAnsi="Cambria Math" w:cs="Times New Roman"/>
                    <w:color w:val="auto"/>
                    <w:highlight w:val="none"/>
                    <w:vertAlign w:val="baseline"/>
                    <w:lang w:val="en-US" w:eastAsia="zh-CN"/>
                  </w:rPr>
                </m:ctrlPr>
              </m:sub>
            </m:sSub>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63E6B4D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燃烧</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统计报告期内化石燃料燃烧产生的二氧化碳排放总量，单位为吨二氧化碳（tCO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53171E9B">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统计报告期内购入电力产生的二氧化碳排放总量，单位为吨二氧化碳（tCO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35100CA4">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统计报告期内购入热力产生的二氧化碳排放总量，单位为吨二氧化碳（tCO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7DEF48FA">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统计报告期内输出电力产生的二氧化碳排放总量，单位为吨二氧化碳（tCO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4224B16F">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统计报告期内输出热力产生的二氧化碳排放总量，单位为吨二氧化碳（tCO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5A90A14F">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6.5 </w:t>
      </w:r>
      <w:r>
        <w:rPr>
          <w:rFonts w:hint="eastAsia" w:ascii="黑体" w:hAnsi="黑体" w:eastAsia="黑体" w:cs="Times New Roman"/>
          <w:b w:val="0"/>
          <w:bCs w:val="0"/>
          <w:color w:val="auto"/>
          <w:sz w:val="21"/>
          <w:szCs w:val="21"/>
          <w:highlight w:val="none"/>
          <w:lang w:val="en-US" w:eastAsia="zh-CN" w:bidi="ar-SA"/>
        </w:rPr>
        <w:t xml:space="preserve"> </w:t>
      </w:r>
      <w:r>
        <w:rPr>
          <w:rFonts w:hint="eastAsia" w:cs="Times New Roman"/>
          <w:color w:val="auto"/>
          <w:highlight w:val="none"/>
          <w:vertAlign w:val="baseline"/>
          <w:lang w:val="en-US" w:eastAsia="zh-CN"/>
        </w:rPr>
        <w:t xml:space="preserve">聚苯乙烯企业化石燃料燃烧排放按式（4） </w:t>
      </w:r>
      <w:r>
        <w:rPr>
          <w:rFonts w:hint="default" w:ascii="Times New Roman" w:hAnsi="Times New Roman" w:cs="Times New Roman"/>
          <w:color w:val="auto"/>
          <w:highlight w:val="none"/>
          <w:vertAlign w:val="baseline"/>
          <w:lang w:val="en-US" w:eastAsia="zh-CN"/>
        </w:rPr>
        <w:t>~</w:t>
      </w:r>
      <w:r>
        <w:rPr>
          <w:rFonts w:hint="eastAsia" w:ascii="Times New Roman" w:hAnsi="Times New Roman" w:cs="Times New Roman"/>
          <w:color w:val="auto"/>
          <w:highlight w:val="none"/>
          <w:vertAlign w:val="baseline"/>
          <w:lang w:val="en-US" w:eastAsia="zh-CN"/>
        </w:rPr>
        <w:t xml:space="preserve"> </w:t>
      </w:r>
      <w:r>
        <w:rPr>
          <w:rFonts w:hint="eastAsia" w:cs="Times New Roman"/>
          <w:color w:val="auto"/>
          <w:highlight w:val="none"/>
          <w:vertAlign w:val="baseline"/>
          <w:lang w:val="en-US" w:eastAsia="zh-CN"/>
        </w:rPr>
        <w:t>式（6）计算：</w:t>
      </w:r>
    </w:p>
    <w:p w14:paraId="1A8086F3">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E</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燃烧</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nary>
          <m:naryPr>
            <m:chr m:val="∑"/>
            <m:limLoc m:val="undOvr"/>
            <m:ctrlPr>
              <w:rPr>
                <w:rFonts w:hint="eastAsia" w:ascii="Cambria Math" w:hAnsi="Cambria Math" w:eastAsia="黑体" w:cs="Times New Roman"/>
                <w:b w:val="0"/>
                <w:bCs w:val="0"/>
                <w:color w:val="auto"/>
                <w:sz w:val="21"/>
                <w:szCs w:val="21"/>
                <w:highlight w:val="none"/>
                <w:lang w:val="en-US" w:eastAsia="zh-CN" w:bidi="ar-SA"/>
              </w:rPr>
            </m:ctrlPr>
          </m:naryPr>
          <m:sub>
            <m:r>
              <m:rPr>
                <m:sty m:val="p"/>
              </m:rPr>
              <w:rPr>
                <w:rFonts w:hint="eastAsia" w:ascii="Cambria Math" w:hAnsi="Cambria Math" w:eastAsia="黑体" w:cs="Times New Roman"/>
                <w:color w:val="auto"/>
                <w:sz w:val="21"/>
                <w:szCs w:val="21"/>
                <w:highlight w:val="none"/>
                <w:lang w:val="en-US" w:eastAsia="zh-CN" w:bidi="ar-SA"/>
              </w:rPr>
              <m:t>i=1</m:t>
            </m:r>
            <m:ctrlPr>
              <w:rPr>
                <w:rFonts w:hint="eastAsia" w:ascii="Cambria Math" w:hAnsi="Cambria Math" w:eastAsia="黑体" w:cs="Times New Roman"/>
                <w:b w:val="0"/>
                <w:bCs w:val="0"/>
                <w:color w:val="auto"/>
                <w:sz w:val="21"/>
                <w:szCs w:val="21"/>
                <w:highlight w:val="none"/>
                <w:lang w:val="en-US" w:eastAsia="zh-CN" w:bidi="ar-SA"/>
              </w:rPr>
            </m:ctrlPr>
          </m:sub>
          <m:sup>
            <m:r>
              <m:rPr>
                <m:sty m:val="p"/>
              </m:rPr>
              <w:rPr>
                <w:rFonts w:hint="default" w:ascii="Cambria Math" w:hAnsi="Cambria Math" w:eastAsia="黑体" w:cs="Times New Roman"/>
                <w:color w:val="auto"/>
                <w:sz w:val="21"/>
                <w:szCs w:val="21"/>
                <w:highlight w:val="none"/>
                <w:lang w:val="en-US" w:eastAsia="zh-CN" w:bidi="ar-SA"/>
              </w:rPr>
              <m:t>j</m:t>
            </m:r>
            <m:ctrlPr>
              <w:rPr>
                <w:rFonts w:hint="default" w:ascii="Cambria Math" w:hAnsi="Cambria Math" w:eastAsia="黑体" w:cs="Times New Roman"/>
                <w:b w:val="0"/>
                <w:bCs w:val="0"/>
                <w:color w:val="auto"/>
                <w:sz w:val="21"/>
                <w:szCs w:val="21"/>
                <w:highlight w:val="none"/>
                <w:lang w:val="en-US" w:eastAsia="zh-CN" w:bidi="ar-SA"/>
              </w:rPr>
            </m:ctrlPr>
          </m:sup>
          <m:e>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AD</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EF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ctrlPr>
              <w:rPr>
                <w:rFonts w:hint="eastAsia" w:ascii="Cambria Math" w:hAnsi="Cambria Math" w:eastAsia="黑体" w:cs="Times New Roman"/>
                <w:b w:val="0"/>
                <w:bCs w:val="0"/>
                <w:color w:val="auto"/>
                <w:sz w:val="21"/>
                <w:szCs w:val="21"/>
                <w:highlight w:val="none"/>
                <w:lang w:val="en-US" w:eastAsia="zh-CN" w:bidi="ar-SA"/>
              </w:rPr>
            </m:ctrlPr>
          </m:e>
        </m:nary>
      </m:oMath>
      <w:r>
        <w:rPr>
          <w:rFonts w:hint="eastAsia" w:hAnsi="Cambria Math" w:eastAsia="黑体" w:cs="Times New Roman"/>
          <w:b w:val="0"/>
          <w:bCs w:val="0"/>
          <w:i w:val="0"/>
          <w:color w:val="auto"/>
          <w:sz w:val="21"/>
          <w:szCs w:val="21"/>
          <w:highlight w:val="none"/>
          <w:lang w:val="en-US" w:eastAsia="zh-CN" w:bidi="ar-SA"/>
        </w:rPr>
        <w:tab/>
      </w:r>
      <w:r>
        <w:rPr>
          <w:rFonts w:hint="eastAsia" w:hAnsi="Cambria Math" w:eastAsia="黑体" w:cs="Times New Roman"/>
          <w:b w:val="0"/>
          <w:bCs w:val="0"/>
          <w:i w:val="0"/>
          <w:color w:val="auto"/>
          <w:sz w:val="21"/>
          <w:szCs w:val="21"/>
          <w:highlight w:val="none"/>
          <w:lang w:val="en-US" w:eastAsia="zh-CN" w:bidi="ar-SA"/>
        </w:rPr>
        <w:t>（4）</w:t>
      </w:r>
    </w:p>
    <w:p w14:paraId="6B384750">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AD</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NCV</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default" w:ascii="Cambria Math" w:hAnsi="Cambria Math" w:eastAsia="黑体" w:cs="Cambria Math"/>
            <w:color w:val="auto"/>
            <w:sz w:val="21"/>
            <w:szCs w:val="21"/>
            <w:highlight w:val="none"/>
            <w:lang w:val="en-US" w:eastAsia="zh-CN" w:bidi="ar-SA"/>
          </w:rPr>
          <m:t>×</m:t>
        </m:r>
        <m:sSub>
          <m:sSubPr>
            <m:ctrlPr>
              <w:rPr>
                <w:rFonts w:hint="default" w:ascii="Cambria Math" w:hAnsi="Cambria Math" w:eastAsia="黑体" w:cs="Cambria Math"/>
                <w:b w:val="0"/>
                <w:bCs w:val="0"/>
                <w:color w:val="auto"/>
                <w:sz w:val="21"/>
                <w:szCs w:val="21"/>
                <w:highlight w:val="none"/>
                <w:lang w:val="en-US" w:eastAsia="zh-CN" w:bidi="ar-SA"/>
              </w:rPr>
            </m:ctrlPr>
          </m:sSubPr>
          <m:e>
            <m:r>
              <m:rPr>
                <m:sty m:val="p"/>
              </m:rPr>
              <w:rPr>
                <w:rFonts w:hint="default" w:ascii="Cambria Math" w:hAnsi="Cambria Math" w:eastAsia="黑体" w:cs="Cambria Math"/>
                <w:color w:val="auto"/>
                <w:sz w:val="21"/>
                <w:szCs w:val="21"/>
                <w:highlight w:val="none"/>
                <w:lang w:val="en-US" w:eastAsia="zh-CN" w:bidi="ar-SA"/>
              </w:rPr>
              <m:t>FC</m:t>
            </m:r>
            <m:ctrlPr>
              <w:rPr>
                <w:rFonts w:hint="default" w:ascii="Cambria Math" w:hAnsi="Cambria Math" w:eastAsia="黑体" w:cs="Cambria Math"/>
                <w:b w:val="0"/>
                <w:bCs w:val="0"/>
                <w:color w:val="auto"/>
                <w:sz w:val="21"/>
                <w:szCs w:val="21"/>
                <w:highlight w:val="none"/>
                <w:lang w:val="en-US" w:eastAsia="zh-CN" w:bidi="ar-SA"/>
              </w:rPr>
            </m:ctrlPr>
          </m:e>
          <m:sub>
            <m:r>
              <m:rPr>
                <m:sty m:val="p"/>
              </m:rPr>
              <w:rPr>
                <w:rFonts w:hint="eastAsia" w:ascii="Cambria Math" w:hAnsi="Cambria Math" w:eastAsia="黑体" w:cs="Cambria Math"/>
                <w:color w:val="auto"/>
                <w:sz w:val="21"/>
                <w:szCs w:val="21"/>
                <w:highlight w:val="none"/>
                <w:lang w:val="en-US" w:eastAsia="zh-CN" w:bidi="ar-SA"/>
              </w:rPr>
              <m:t>i</m:t>
            </m:r>
            <m:ctrlPr>
              <w:rPr>
                <w:rFonts w:hint="default" w:ascii="Cambria Math" w:hAnsi="Cambria Math" w:eastAsia="黑体" w:cs="Cambria Math"/>
                <w:b w:val="0"/>
                <w:bCs w:val="0"/>
                <w:color w:val="auto"/>
                <w:sz w:val="21"/>
                <w:szCs w:val="21"/>
                <w:highlight w:val="none"/>
                <w:lang w:val="en-US" w:eastAsia="zh-CN" w:bidi="ar-SA"/>
              </w:rPr>
            </m:ctrlPr>
          </m:sub>
        </m:sSub>
      </m:oMath>
      <w:r>
        <w:rPr>
          <w:rFonts w:hint="eastAsia" w:hAnsi="Cambria Math" w:eastAsia="黑体" w:cs="Cambria Math"/>
          <w:b w:val="0"/>
          <w:bCs w:val="0"/>
          <w:i w:val="0"/>
          <w:color w:val="auto"/>
          <w:sz w:val="21"/>
          <w:szCs w:val="21"/>
          <w:highlight w:val="none"/>
          <w:lang w:val="en-US" w:eastAsia="zh-CN" w:bidi="ar-SA"/>
        </w:rPr>
        <w:tab/>
      </w:r>
      <w:r>
        <w:rPr>
          <w:rFonts w:hint="eastAsia" w:hAnsi="Cambria Math" w:eastAsia="黑体" w:cs="Cambria Math"/>
          <w:b w:val="0"/>
          <w:bCs w:val="0"/>
          <w:i w:val="0"/>
          <w:color w:val="auto"/>
          <w:sz w:val="21"/>
          <w:szCs w:val="21"/>
          <w:highlight w:val="none"/>
          <w:lang w:val="en-US" w:eastAsia="zh-CN" w:bidi="ar-SA"/>
        </w:rPr>
        <w:t>（5）</w:t>
      </w:r>
    </w:p>
    <w:p w14:paraId="5E7C5D26">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hAnsi="Cambria Math" w:eastAsia="黑体" w:cs="Times New Roman"/>
          <w:b w:val="0"/>
          <w:bCs w:val="0"/>
          <w:i w:val="0"/>
          <w:color w:val="auto"/>
          <w:sz w:val="21"/>
          <w:szCs w:val="21"/>
          <w:highlight w:val="none"/>
          <w:lang w:val="en-US" w:eastAsia="zh-CN" w:bidi="ar-SA"/>
        </w:rPr>
      </w:pPr>
    </w:p>
    <w:p w14:paraId="46DCB09B">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EF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CC</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O</m:t>
            </m:r>
            <m:r>
              <m:rPr>
                <m:sty m:val="p"/>
              </m:rPr>
              <w:rPr>
                <w:rFonts w:hint="eastAsia" w:ascii="Cambria Math" w:hAnsi="Cambria Math" w:eastAsia="黑体" w:cs="Times New Roman"/>
                <w:color w:val="auto"/>
                <w:sz w:val="21"/>
                <w:szCs w:val="21"/>
                <w:highlight w:val="none"/>
                <w:lang w:val="en-US" w:eastAsia="zh-CN" w:bidi="ar-SA"/>
              </w:rPr>
              <m:t>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default" w:ascii="Cambria Math" w:hAnsi="Cambria Math" w:eastAsia="黑体" w:cs="Cambria Math"/>
            <w:color w:val="auto"/>
            <w:sz w:val="21"/>
            <w:szCs w:val="21"/>
            <w:highlight w:val="none"/>
            <w:lang w:val="en-US" w:eastAsia="zh-CN" w:bidi="ar-SA"/>
          </w:rPr>
          <m:t>×</m:t>
        </m:r>
        <m:f>
          <m:fPr>
            <m:ctrlPr>
              <w:rPr>
                <w:rFonts w:hint="default" w:ascii="Cambria Math" w:hAnsi="Cambria Math" w:eastAsia="黑体" w:cs="Cambria Math"/>
                <w:b w:val="0"/>
                <w:bCs w:val="0"/>
                <w:color w:val="auto"/>
                <w:sz w:val="21"/>
                <w:szCs w:val="21"/>
                <w:highlight w:val="none"/>
                <w:lang w:val="en-US" w:eastAsia="zh-CN" w:bidi="ar-SA"/>
              </w:rPr>
            </m:ctrlPr>
          </m:fPr>
          <m:num>
            <m:r>
              <m:rPr>
                <m:sty m:val="p"/>
              </m:rPr>
              <w:rPr>
                <w:rFonts w:hint="eastAsia" w:ascii="Cambria Math" w:hAnsi="Cambria Math" w:eastAsia="黑体" w:cs="Cambria Math"/>
                <w:color w:val="auto"/>
                <w:sz w:val="21"/>
                <w:szCs w:val="21"/>
                <w:highlight w:val="none"/>
                <w:lang w:val="en-US" w:eastAsia="zh-CN" w:bidi="ar-SA"/>
              </w:rPr>
              <m:t>44</m:t>
            </m:r>
            <m:ctrlPr>
              <w:rPr>
                <w:rFonts w:hint="default" w:ascii="Cambria Math" w:hAnsi="Cambria Math" w:eastAsia="黑体" w:cs="Cambria Math"/>
                <w:b w:val="0"/>
                <w:bCs w:val="0"/>
                <w:color w:val="auto"/>
                <w:sz w:val="21"/>
                <w:szCs w:val="21"/>
                <w:highlight w:val="none"/>
                <w:lang w:val="en-US" w:eastAsia="zh-CN" w:bidi="ar-SA"/>
              </w:rPr>
            </m:ctrlPr>
          </m:num>
          <m:den>
            <m:r>
              <m:rPr>
                <m:sty m:val="p"/>
              </m:rPr>
              <w:rPr>
                <w:rFonts w:hint="eastAsia" w:ascii="Cambria Math" w:hAnsi="Cambria Math" w:eastAsia="黑体" w:cs="Cambria Math"/>
                <w:color w:val="auto"/>
                <w:sz w:val="21"/>
                <w:szCs w:val="21"/>
                <w:highlight w:val="none"/>
                <w:lang w:val="en-US" w:eastAsia="zh-CN" w:bidi="ar-SA"/>
              </w:rPr>
              <m:t>12</m:t>
            </m:r>
            <m:ctrlPr>
              <w:rPr>
                <w:rFonts w:hint="default" w:ascii="Cambria Math" w:hAnsi="Cambria Math" w:eastAsia="黑体" w:cs="Cambria Math"/>
                <w:b w:val="0"/>
                <w:bCs w:val="0"/>
                <w:color w:val="auto"/>
                <w:sz w:val="21"/>
                <w:szCs w:val="21"/>
                <w:highlight w:val="none"/>
                <w:lang w:val="en-US" w:eastAsia="zh-CN" w:bidi="ar-SA"/>
              </w:rPr>
            </m:ctrlPr>
          </m:den>
        </m:f>
      </m:oMath>
      <w:r>
        <w:rPr>
          <w:rFonts w:hint="eastAsia" w:hAnsi="Cambria Math" w:eastAsia="黑体" w:cs="Cambria Math"/>
          <w:b w:val="0"/>
          <w:bCs w:val="0"/>
          <w:i w:val="0"/>
          <w:color w:val="auto"/>
          <w:sz w:val="21"/>
          <w:szCs w:val="21"/>
          <w:highlight w:val="none"/>
          <w:lang w:val="en-US" w:eastAsia="zh-CN" w:bidi="ar-SA"/>
        </w:rPr>
        <w:tab/>
      </w:r>
      <w:r>
        <w:rPr>
          <w:rFonts w:hint="eastAsia" w:hAnsi="Cambria Math" w:eastAsia="黑体" w:cs="Cambria Math"/>
          <w:b w:val="0"/>
          <w:bCs w:val="0"/>
          <w:i w:val="0"/>
          <w:color w:val="auto"/>
          <w:sz w:val="21"/>
          <w:szCs w:val="21"/>
          <w:highlight w:val="none"/>
          <w:lang w:val="en-US" w:eastAsia="zh-CN" w:bidi="ar-SA"/>
        </w:rPr>
        <w:t>（6）</w:t>
      </w:r>
    </w:p>
    <w:p w14:paraId="1EB4F213">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6092CD2B">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燃烧</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聚苯乙烯生产企业统计报告期内化石燃料燃烧产生的二氧化碳排放总量，单位为吨二氧化碳（tCO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15DA40EE">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r>
          <m:rPr>
            <m:sty m:val="p"/>
          </m:rPr>
          <w:rPr>
            <w:rFonts w:hint="default" w:ascii="Cambria Math" w:hAnsi="Cambria Math" w:cs="Times New Roman"/>
            <w:color w:val="auto"/>
            <w:highlight w:val="none"/>
            <w:vertAlign w:val="baseline"/>
            <w:lang w:val="en-US" w:eastAsia="zh-CN"/>
          </w:rPr>
          <m:t>j</m:t>
        </m:r>
      </m:oMath>
      <w:r>
        <w:rPr>
          <w:rFonts w:hint="eastAsia" w:cs="Times New Roman"/>
          <w:color w:val="auto"/>
          <w:highlight w:val="none"/>
          <w:vertAlign w:val="baseline"/>
          <w:lang w:val="en-US" w:eastAsia="zh-CN"/>
        </w:rPr>
        <w:t xml:space="preserve"> — 统计报告期内消耗的化石燃料种类；</w:t>
      </w:r>
    </w:p>
    <w:p w14:paraId="278E51B9">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种化石燃料用作化石燃料燃烧的活动数据，不包括生产过程中产生的副产品或可燃废气被回收并作为化石燃料燃烧的部分，单位为吉焦（GJ）；</w:t>
      </w:r>
    </w:p>
    <w:p w14:paraId="1DBB94AA">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种化石燃料的二氧化碳排放因子，单位为吨二氧化碳/吉焦（tCO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p>
    <w:p w14:paraId="22710513">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b w:val="0"/>
                <w:i w:val="0"/>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NCV</m:t>
            </m:r>
            <m:ctrlPr>
              <w:rPr>
                <w:rFonts w:hint="eastAsia" w:ascii="Cambria Math" w:hAnsi="Cambria Math" w:cs="Times New Roman"/>
                <w:b w:val="0"/>
                <w:i w:val="0"/>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i</m:t>
            </m:r>
            <m:ctrlPr>
              <w:rPr>
                <w:rFonts w:hint="eastAsia" w:ascii="Cambria Math" w:hAnsi="Cambria Math" w:cs="Times New Roman"/>
                <w:b w:val="0"/>
                <w:i w:val="0"/>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种化石燃料的平均低位发热量，对于固体或液体燃料，单位为吉焦/吨（GJ/t）；对于气体燃料，单位为吉焦/万标立方米（GJ/万Nm</w:t>
      </w:r>
      <w:r>
        <w:rPr>
          <w:rFonts w:hint="eastAsia" w:cs="Times New Roman"/>
          <w:color w:val="auto"/>
          <w:highlight w:val="none"/>
          <w:vertAlign w:val="superscript"/>
          <w:lang w:val="en-US" w:eastAsia="zh-CN"/>
        </w:rPr>
        <w:t>3</w:t>
      </w:r>
      <w:r>
        <w:rPr>
          <w:rFonts w:hint="eastAsia" w:cs="Times New Roman"/>
          <w:color w:val="auto"/>
          <w:highlight w:val="none"/>
          <w:vertAlign w:val="baseline"/>
          <w:lang w:val="en-US" w:eastAsia="zh-CN"/>
        </w:rPr>
        <w:t>）；</w:t>
      </w:r>
    </w:p>
    <w:p w14:paraId="31834F82">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FC</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种化石燃料用作化石燃料燃烧的消耗量，对于固体或液体燃料，单位为吨（t）；对于气体燃料，单位为万标立方米（万Nm</w:t>
      </w:r>
      <w:r>
        <w:rPr>
          <w:rFonts w:hint="eastAsia" w:cs="Times New Roman"/>
          <w:color w:val="auto"/>
          <w:highlight w:val="none"/>
          <w:vertAlign w:val="superscript"/>
          <w:lang w:val="en-US" w:eastAsia="zh-CN"/>
        </w:rPr>
        <w:t>3</w:t>
      </w:r>
      <w:r>
        <w:rPr>
          <w:rFonts w:hint="eastAsia" w:cs="Times New Roman"/>
          <w:color w:val="auto"/>
          <w:highlight w:val="none"/>
          <w:vertAlign w:val="baseline"/>
          <w:lang w:val="en-US" w:eastAsia="zh-CN"/>
        </w:rPr>
        <w:t>）；</w:t>
      </w:r>
    </w:p>
    <w:p w14:paraId="5EEB2ED1">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CC</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种化石燃料的单位热值含碳量，单位为吨碳/吉焦（tC/GJ）；</w:t>
      </w:r>
    </w:p>
    <w:p w14:paraId="16DAED02">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OF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种化石燃料的碳氧化率，单位为%。</w:t>
      </w:r>
    </w:p>
    <w:p w14:paraId="26AA2567">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default"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6.6  </w:t>
      </w:r>
      <w:r>
        <w:rPr>
          <w:rFonts w:hint="eastAsia" w:cs="Times New Roman"/>
          <w:color w:val="auto"/>
          <w:highlight w:val="none"/>
          <w:vertAlign w:val="baseline"/>
          <w:lang w:val="en-US" w:eastAsia="zh-CN"/>
        </w:rPr>
        <w:t>购入的电力、热力产生的排放按式（8）、式（9）计算：</w:t>
      </w:r>
    </w:p>
    <w:p w14:paraId="061496AE">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电</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（8）</w:t>
      </w:r>
    </w:p>
    <w:p w14:paraId="64A02C07">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（9）</w:t>
      </w:r>
    </w:p>
    <w:p w14:paraId="1D6901A3">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p>
    <w:p w14:paraId="10BDFEDE">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FB3A78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聚苯乙烯生产企业购入电力所产生的二氧化碳排放总量，单位为吨二氧化碳（tCO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4423433D">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统计报告期内购入电力量，单位为兆瓦时（MWh）；</w:t>
      </w:r>
    </w:p>
    <w:p w14:paraId="5689D13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电力二氧化碳排放因子，单位为吨二氧化碳/兆瓦时（tCO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/MWh）；</w:t>
      </w:r>
    </w:p>
    <w:p w14:paraId="152EAA3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聚苯乙烯生产企业购入热力所产生的二氧化碳排放总量，单位为吨二氧化碳（tCO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482C3033">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统计报告期内购入热力量，单位为吉焦（GJ）；</w:t>
      </w:r>
    </w:p>
    <w:p w14:paraId="66D2ED48">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热力二氧化碳排放因子，单位为吨二氧化碳/吉焦（tCO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p>
    <w:p w14:paraId="37ED9FEE">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6.7  </w:t>
      </w:r>
      <w:r>
        <w:rPr>
          <w:rFonts w:hint="eastAsia" w:cs="Times New Roman"/>
          <w:color w:val="auto"/>
          <w:highlight w:val="none"/>
          <w:vertAlign w:val="baseline"/>
          <w:lang w:val="en-US" w:eastAsia="zh-CN"/>
        </w:rPr>
        <w:t>输出的电力、热力产生的排放按式（10）、式（11）计算：</w:t>
      </w:r>
    </w:p>
    <w:p w14:paraId="3444BAE1">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电</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（10）</w:t>
      </w:r>
    </w:p>
    <w:p w14:paraId="4F4A8845">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（11）</w:t>
      </w:r>
    </w:p>
    <w:p w14:paraId="1197C707">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5415A1A8">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聚苯乙烯生产企业输出电力所产生的二氧化碳排放总量，单位为吨二氧化碳（tCO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1AA635CD">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统计报告期内输出电力量，单位为兆瓦时（MWh）；</w:t>
      </w:r>
    </w:p>
    <w:p w14:paraId="5C320286">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电力二氧化碳排放因子，单位为吨二氧化碳/兆瓦时（tCO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/MWh）；</w:t>
      </w:r>
    </w:p>
    <w:p w14:paraId="1B081C17">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聚苯乙烯生产企业输出热力所产生的二氧化碳排放总量，单位为吨二氧化碳（tCO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6E831990">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统计报告期内输出热力量，单位为吉焦（GJ）；</w:t>
      </w:r>
    </w:p>
    <w:p w14:paraId="79ACF53F">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热力二氧化碳排放因子，单位为吨二氧化碳/吉焦（tCO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bookmarkStart w:id="23" w:name="_GoBack"/>
      <w:bookmarkEnd w:id="23"/>
    </w:p>
    <w:p w14:paraId="72E7BE09">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ascii="黑体" w:hAnsi="黑体" w:eastAsia="黑体" w:cs="Times New Roman"/>
          <w:b w:val="0"/>
          <w:bCs w:val="0"/>
          <w:color w:val="auto"/>
          <w:sz w:val="21"/>
          <w:szCs w:val="21"/>
          <w:lang w:val="en-US" w:eastAsia="zh-CN" w:bidi="ar-SA"/>
        </w:rPr>
        <w:t xml:space="preserve">6.8  </w:t>
      </w:r>
      <w:r>
        <w:rPr>
          <w:rFonts w:hint="eastAsia" w:cs="Times New Roman"/>
          <w:color w:val="auto"/>
          <w:highlight w:val="none"/>
          <w:vertAlign w:val="baseline"/>
          <w:lang w:val="en-US" w:eastAsia="zh-CN"/>
        </w:rPr>
        <w:t>聚苯乙烯单位产品二氧化碳排放量按式（12）计算：</w:t>
      </w:r>
    </w:p>
    <w:p w14:paraId="598B69BD">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hAnsi="Cambria Math" w:eastAsia="黑体" w:cs="Times New Roman"/>
          <w:b w:val="0"/>
          <w:bCs w:val="0"/>
          <w:i w:val="0"/>
          <w:color w:val="auto"/>
          <w:sz w:val="21"/>
          <w:szCs w:val="21"/>
          <w:lang w:val="en-US" w:eastAsia="zh-CN" w:bidi="ar-SA"/>
        </w:rPr>
      </w:pPr>
    </w:p>
    <w:p w14:paraId="7BC9F8E7">
      <w:pPr>
        <w:pStyle w:val="27"/>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i w:val="0"/>
                <w:color w:val="auto"/>
                <w:sz w:val="21"/>
                <w:szCs w:val="21"/>
                <w:lang w:val="en-US" w:eastAsia="zh-CN" w:bidi="ar-SA"/>
              </w:rPr>
            </m:ctrlPr>
          </m:e>
          <m:sub>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i w:val="0"/>
                    <w:color w:val="auto"/>
                    <w:sz w:val="21"/>
                    <w:szCs w:val="21"/>
                    <w:lang w:val="en-US" w:eastAsia="zh-CN" w:bidi="ar-SA"/>
                  </w:rPr>
                </m:ctrlPr>
              </m:e>
              <m:sub>
                <m:r>
                  <m:rPr>
                    <m:sty m:val="p"/>
                  </m:rPr>
                  <w:rPr>
                    <w:rFonts w:hint="default"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i w:val="0"/>
                    <w:color w:val="auto"/>
                    <w:sz w:val="21"/>
                    <w:szCs w:val="21"/>
                    <w:lang w:val="en-US" w:eastAsia="zh-CN" w:bidi="ar-SA"/>
                  </w:rPr>
                </m:ctrlPr>
              </m:sub>
            </m:sSub>
            <m:ctrlPr>
              <w:rPr>
                <w:rFonts w:hint="default" w:ascii="Cambria Math" w:hAnsi="Cambria Math" w:eastAsia="黑体" w:cs="Times New Roman"/>
                <w:b w:val="0"/>
                <w:bCs w:val="0"/>
                <w:i w:val="0"/>
                <w:color w:val="auto"/>
                <w:sz w:val="21"/>
                <w:szCs w:val="21"/>
                <w:lang w:val="en-US" w:eastAsia="zh-CN" w:bidi="ar-SA"/>
              </w:rPr>
            </m:ctrlPr>
          </m:sub>
        </m:sSub>
        <m:r>
          <m:rPr>
            <m:sty m:val="p"/>
          </m:rPr>
          <w:rPr>
            <w:rFonts w:hint="default" w:ascii="Cambria Math" w:hAnsi="Cambria Math" w:eastAsia="黑体" w:cs="Times New Roman"/>
            <w:color w:val="auto"/>
            <w:sz w:val="21"/>
            <w:szCs w:val="21"/>
            <w:lang w:val="en-US" w:eastAsia="zh-CN" w:bidi="ar-SA"/>
          </w:rPr>
          <m:t>=</m:t>
        </m:r>
        <m:f>
          <m:fPr>
            <m:ctrlPr>
              <w:rPr>
                <w:rFonts w:hint="default" w:ascii="Cambria Math" w:hAnsi="Cambria Math" w:eastAsia="黑体" w:cs="Times New Roman"/>
                <w:b w:val="0"/>
                <w:bCs w:val="0"/>
                <w:color w:val="auto"/>
                <w:sz w:val="21"/>
                <w:szCs w:val="21"/>
                <w:lang w:val="en-US" w:eastAsia="zh-CN" w:bidi="ar-SA"/>
              </w:rPr>
            </m:ctrlPr>
          </m:fPr>
          <m:num>
            <m:sSub>
              <m:sSubPr>
                <m:ctrlPr>
                  <w:rPr>
                    <w:rFonts w:hint="default" w:ascii="Cambria Math" w:hAnsi="Cambria Math" w:eastAsia="黑体" w:cs="Times New Roman"/>
                    <w:b w:val="0"/>
                    <w:bCs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color w:val="auto"/>
                    <w:sz w:val="21"/>
                    <w:szCs w:val="21"/>
                    <w:lang w:val="en-US" w:eastAsia="zh-CN" w:bidi="ar-SA"/>
                  </w:rPr>
                </m:ctrlPr>
              </m:e>
              <m:sub>
                <m:sSub>
                  <m:sSubPr>
                    <m:ctrlPr>
                      <w:rPr>
                        <w:rFonts w:hint="default" w:ascii="Cambria Math" w:hAnsi="Cambria Math" w:eastAsia="黑体" w:cs="Times New Roman"/>
                        <w:b w:val="0"/>
                        <w:bCs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color w:val="auto"/>
                        <w:sz w:val="21"/>
                        <w:szCs w:val="21"/>
                        <w:lang w:val="en-US" w:eastAsia="zh-CN" w:bidi="ar-SA"/>
                      </w:rPr>
                    </m:ctrlPr>
                  </m:e>
                  <m:sub>
                    <m:r>
                      <m:rPr>
                        <m:sty m:val="p"/>
                      </m:rPr>
                      <w:rPr>
                        <w:rFonts w:hint="default"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num>
          <m:den>
            <m:r>
              <m:rPr>
                <m:sty m:val="p"/>
              </m:rPr>
              <w:rPr>
                <w:rFonts w:hint="default" w:ascii="Cambria Math" w:hAnsi="Cambria Math" w:eastAsia="黑体" w:cs="Times New Roman"/>
                <w:color w:val="auto"/>
                <w:sz w:val="21"/>
                <w:szCs w:val="21"/>
                <w:lang w:val="en-US" w:eastAsia="zh-CN" w:bidi="ar-SA"/>
              </w:rPr>
              <m:t>P</m:t>
            </m:r>
            <m:ctrlPr>
              <w:rPr>
                <w:rFonts w:hint="default" w:ascii="Cambria Math" w:hAnsi="Cambria Math" w:eastAsia="黑体" w:cs="Times New Roman"/>
                <w:b w:val="0"/>
                <w:bCs w:val="0"/>
                <w:color w:val="auto"/>
                <w:sz w:val="21"/>
                <w:szCs w:val="21"/>
                <w:lang w:val="en-US" w:eastAsia="zh-CN" w:bidi="ar-SA"/>
              </w:rPr>
            </m:ctrlPr>
          </m:den>
        </m:f>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（12）</w:t>
      </w:r>
    </w:p>
    <w:p w14:paraId="1B4DD991">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65ABCE27">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CO</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2</m:t>
                </m:r>
                <m:ctrlPr>
                  <w:rPr>
                    <w:rFonts w:hint="eastAsia" w:ascii="Cambria Math" w:hAnsi="Cambria Math" w:cs="Times New Roman"/>
                    <w:color w:val="auto"/>
                    <w:highlight w:val="none"/>
                    <w:vertAlign w:val="baseline"/>
                    <w:lang w:val="en-US" w:eastAsia="zh-CN"/>
                  </w:rPr>
                </m:ctrlPr>
              </m:sub>
            </m:sSub>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聚苯乙烯单位产品二氧化碳排放量，单位为</w:t>
      </w:r>
      <w:r>
        <w:rPr>
          <w:rFonts w:hint="default" w:cs="Times New Roman"/>
          <w:color w:val="auto"/>
          <w:highlight w:val="none"/>
          <w:vertAlign w:val="baseline"/>
          <w:lang w:val="en-US" w:eastAsia="zh-CN"/>
        </w:rPr>
        <w:t>千克</w:t>
      </w:r>
      <w:r>
        <w:rPr>
          <w:rFonts w:hint="eastAsia" w:cs="Times New Roman"/>
          <w:color w:val="auto"/>
          <w:highlight w:val="none"/>
          <w:vertAlign w:val="baseline"/>
          <w:lang w:val="en-US" w:eastAsia="zh-CN"/>
        </w:rPr>
        <w:t>二氧化碳/吨（kgCO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/t）；</w:t>
      </w:r>
    </w:p>
    <w:p w14:paraId="30CCA173">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sty m:val="p"/>
              </m:rPr>
              <w:rPr>
                <w:rFonts w:hint="default" w:ascii="Times New Roman" w:hAnsi="Times New Roman" w:cs="Times New Roman"/>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sSub>
              <m:sSubPr>
                <m:ctrlPr>
                  <w:rPr>
                    <w:rFonts w:hint="default" w:ascii="Cambria Math" w:hAnsi="Cambria Math" w:cs="Times New Roman"/>
                    <w:color w:val="auto"/>
                    <w:highlight w:val="none"/>
                    <w:vertAlign w:val="baseline"/>
                    <w:lang w:val="en-US" w:eastAsia="zh-CN"/>
                  </w:rPr>
                </m:ctrlPr>
              </m:sSubPr>
              <m:e>
                <m:r>
                  <m:rPr>
                    <m:sty m:val="p"/>
                  </m:rPr>
                  <w:rPr>
                    <w:rFonts w:hint="default" w:ascii="Times New Roman" w:hAnsi="Times New Roman" w:cs="Times New Roman"/>
                    <w:color w:val="auto"/>
                    <w:highlight w:val="none"/>
                    <w:vertAlign w:val="baseline"/>
                    <w:lang w:val="en-US" w:eastAsia="zh-CN"/>
                  </w:rPr>
                  <m:t>CO</m:t>
                </m:r>
                <m:ctrlPr>
                  <w:rPr>
                    <w:rFonts w:hint="default" w:ascii="Cambria Math" w:hAnsi="Cambria Math" w:cs="Times New Roman"/>
                    <w:color w:val="auto"/>
                    <w:highlight w:val="none"/>
                    <w:vertAlign w:val="baseline"/>
                    <w:lang w:val="en-US" w:eastAsia="zh-CN"/>
                  </w:rPr>
                </m:ctrlPr>
              </m:e>
              <m:sub>
                <m:r>
                  <m:rPr>
                    <m:sty m:val="p"/>
                  </m:rPr>
                  <w:rPr>
                    <w:rFonts w:hint="default" w:ascii="Times New Roman" w:hAnsi="Times New Roman" w:cs="Times New Roman"/>
                    <w:color w:val="auto"/>
                    <w:highlight w:val="none"/>
                    <w:vertAlign w:val="baseline"/>
                    <w:lang w:val="en-US" w:eastAsia="zh-CN"/>
                  </w:rPr>
                  <m:t>2</m:t>
                </m:r>
                <m:ctrlPr>
                  <w:rPr>
                    <w:rFonts w:hint="default" w:ascii="Cambria Math" w:hAnsi="Cambria Math" w:cs="Times New Roman"/>
                    <w:color w:val="auto"/>
                    <w:highlight w:val="none"/>
                    <w:vertAlign w:val="baseline"/>
                    <w:lang w:val="en-US" w:eastAsia="zh-CN"/>
                  </w:rPr>
                </m:ctrlPr>
              </m:sub>
            </m:sSub>
            <m:ctrlPr>
              <w:rPr>
                <w:rFonts w:hint="default"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聚苯乙烯生产企业二氧化碳排放总量，单位为吨二氧化碳（tCO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0926B56A">
      <w:pPr>
        <w:pStyle w:val="27"/>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P — 统计报告期内聚苯乙烯合格产品（GPPS应符合GBT 12671-2008 标准要求、HIPS应符合 GBT 37198-2018标准要求）的实物产量，单位为吨（t）。</w:t>
      </w:r>
    </w:p>
    <w:p w14:paraId="29DAE934">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eastAsia" w:ascii="宋体" w:eastAsia="宋体"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6.9  </w:t>
      </w:r>
      <w:r>
        <w:rPr>
          <w:rFonts w:hint="eastAsia" w:cs="Times New Roman"/>
          <w:color w:val="auto"/>
          <w:highlight w:val="none"/>
          <w:vertAlign w:val="baseline"/>
          <w:lang w:val="en-US" w:eastAsia="zh-CN"/>
        </w:rPr>
        <w:t>统计和计算过程中各种燃料的单位热值含碳量、碳氧化率，相关物料的排放因子应优先采用企业报告期内的实测值，燃料含碳量的测定应遵循 GB/T 476、SH/T 0656、GB/T 13610、GB/T 8984等相关标准；没有实测条件的，可参考表 C.1 的相关参数缺省值。</w:t>
      </w:r>
    </w:p>
    <w:p w14:paraId="6533AE58">
      <w:pPr>
        <w:pStyle w:val="27"/>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宋体" w:eastAsia="宋体"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6.10  </w:t>
      </w:r>
      <w:r>
        <w:rPr>
          <w:rFonts w:hint="default" w:cs="Times New Roman"/>
          <w:color w:val="auto"/>
          <w:highlight w:val="none"/>
          <w:vertAlign w:val="baseline"/>
          <w:lang w:val="en-US" w:eastAsia="zh-CN"/>
        </w:rPr>
        <w:t>电网年平均供电排放因子应选用国家主管部门最近年份公布的相应区域数据。热力排放因子优先采用供热单位的实测值，数据不可得时按0.11tCO</w:t>
      </w:r>
      <w:r>
        <w:rPr>
          <w:rFonts w:hint="eastAsia" w:cs="Times New Roman"/>
          <w:color w:val="auto"/>
          <w:highlight w:val="none"/>
          <w:vertAlign w:val="subscript"/>
          <w:lang w:val="en-US" w:eastAsia="zh-CN"/>
        </w:rPr>
        <w:t>2</w:t>
      </w:r>
      <w:r>
        <w:rPr>
          <w:rFonts w:hint="default" w:cs="Times New Roman"/>
          <w:color w:val="auto"/>
          <w:highlight w:val="none"/>
          <w:vertAlign w:val="baseline"/>
          <w:lang w:val="en-US" w:eastAsia="zh-CN"/>
        </w:rPr>
        <w:t>/GJ计算。</w:t>
      </w:r>
    </w:p>
    <w:p w14:paraId="5718D807">
      <w:pPr>
        <w:pStyle w:val="27"/>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p>
    <w:p w14:paraId="4A2DEAE1">
      <w:pPr>
        <w:pStyle w:val="39"/>
        <w:numPr>
          <w:ilvl w:val="0"/>
          <w:numId w:val="0"/>
        </w:numPr>
        <w:spacing w:before="312" w:after="312"/>
        <w:outlineLvl w:val="9"/>
        <w:rPr>
          <w:rFonts w:hint="eastAsia"/>
          <w:color w:val="auto"/>
        </w:rPr>
        <w:sectPr>
          <w:headerReference r:id="rId9" w:type="default"/>
          <w:footerReference r:id="rId11" w:type="default"/>
          <w:headerReference r:id="rId10" w:type="even"/>
          <w:footerReference r:id="rId12"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start="1"/>
          <w:cols w:space="425" w:num="1"/>
          <w:formProt w:val="0"/>
          <w:docGrid w:type="lines" w:linePitch="312" w:charSpace="0"/>
        </w:sectPr>
      </w:pPr>
    </w:p>
    <w:p w14:paraId="2A07C58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9"/>
        <w:rPr>
          <w:rFonts w:hint="eastAsia" w:ascii="黑体" w:hAnsi="黑体" w:eastAsia="黑体" w:cs="黑体"/>
          <w:color w:val="auto"/>
          <w:sz w:val="21"/>
          <w:szCs w:val="21"/>
          <w:lang w:val="en-US" w:eastAsia="zh-CN" w:bidi="ar-SA"/>
        </w:rPr>
      </w:pPr>
    </w:p>
    <w:p w14:paraId="21C4CA5D">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bookmarkStart w:id="9" w:name="_Toc22187"/>
      <w:r>
        <w:rPr>
          <w:rFonts w:hint="eastAsia" w:ascii="黑体" w:hAnsi="黑体" w:eastAsia="黑体" w:cs="黑体"/>
          <w:color w:val="auto"/>
          <w:sz w:val="21"/>
          <w:szCs w:val="21"/>
          <w:lang w:val="en-US" w:eastAsia="zh-CN" w:bidi="ar-SA"/>
        </w:rPr>
        <w:t>附录</w:t>
      </w:r>
      <w:r>
        <w:rPr>
          <w:rFonts w:hint="eastAsia" w:hAnsi="黑体" w:cs="黑体"/>
          <w:color w:val="auto"/>
          <w:sz w:val="21"/>
          <w:szCs w:val="21"/>
          <w:lang w:val="en-US" w:eastAsia="zh-CN" w:bidi="ar-SA"/>
        </w:rPr>
        <w:t>A</w:t>
      </w:r>
      <w:bookmarkEnd w:id="9"/>
    </w:p>
    <w:p w14:paraId="0385E0F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bookmarkStart w:id="10" w:name="_Toc6596"/>
      <w:bookmarkStart w:id="11" w:name="_Toc25510"/>
      <w:r>
        <w:rPr>
          <w:rFonts w:hint="eastAsia" w:ascii="黑体" w:hAnsi="黑体" w:eastAsia="黑体" w:cs="黑体"/>
          <w:color w:val="auto"/>
          <w:sz w:val="21"/>
          <w:szCs w:val="21"/>
          <w:lang w:val="en-US" w:eastAsia="zh-CN" w:bidi="ar-SA"/>
        </w:rPr>
        <w:t>（资料性）</w:t>
      </w:r>
      <w:bookmarkEnd w:id="10"/>
      <w:bookmarkEnd w:id="11"/>
    </w:p>
    <w:p w14:paraId="15F507F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b w:val="0"/>
          <w:bCs w:val="0"/>
          <w:color w:val="auto"/>
          <w:szCs w:val="21"/>
          <w:lang w:val="en-US" w:eastAsia="zh-CN"/>
        </w:rPr>
      </w:pPr>
      <w:bookmarkStart w:id="12" w:name="_Toc11694"/>
      <w:bookmarkStart w:id="13" w:name="_Toc32126"/>
      <w:bookmarkStart w:id="14" w:name="_Toc2663"/>
      <w:r>
        <w:rPr>
          <w:rFonts w:hint="eastAsia"/>
          <w:b w:val="0"/>
          <w:bCs w:val="0"/>
          <w:color w:val="auto"/>
          <w:szCs w:val="21"/>
          <w:lang w:val="en-US" w:eastAsia="zh-CN"/>
        </w:rPr>
        <w:t>聚苯乙烯装置统计界区</w:t>
      </w:r>
      <w:bookmarkEnd w:id="12"/>
    </w:p>
    <w:bookmarkEnd w:id="13"/>
    <w:bookmarkEnd w:id="14"/>
    <w:p w14:paraId="38C15D9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p>
    <w:p w14:paraId="6C4E0F32">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r>
        <w:rPr>
          <w:rFonts w:hint="eastAsia" w:cs="Times New Roman"/>
          <w:color w:val="auto"/>
          <w:sz w:val="21"/>
          <w:szCs w:val="22"/>
          <w:vertAlign w:val="baseline"/>
          <w:lang w:val="en-US" w:eastAsia="zh-CN" w:bidi="ar-SA"/>
        </w:rPr>
        <w:t>GPPS和HIPS</w:t>
      </w:r>
      <w:r>
        <w:rPr>
          <w:rFonts w:hint="eastAsia" w:ascii="宋体" w:hAnsi="Times New Roman" w:eastAsia="宋体" w:cs="Times New Roman"/>
          <w:color w:val="auto"/>
          <w:sz w:val="21"/>
          <w:szCs w:val="22"/>
          <w:vertAlign w:val="baseline"/>
          <w:lang w:val="en-US" w:eastAsia="zh-CN" w:bidi="ar-SA"/>
        </w:rPr>
        <w:t>能耗统计界区参见图 A.1</w:t>
      </w:r>
      <w:r>
        <w:rPr>
          <w:rFonts w:hint="eastAsia" w:cs="Times New Roman"/>
          <w:color w:val="auto"/>
          <w:sz w:val="21"/>
          <w:szCs w:val="22"/>
          <w:vertAlign w:val="baseline"/>
          <w:lang w:val="en-US" w:eastAsia="zh-CN" w:bidi="ar-SA"/>
        </w:rPr>
        <w:t>，EPS能耗统计界区参见图 A.2</w:t>
      </w:r>
      <w:r>
        <w:rPr>
          <w:rFonts w:hint="eastAsia" w:ascii="宋体" w:hAnsi="Times New Roman" w:eastAsia="宋体" w:cs="Times New Roman"/>
          <w:color w:val="auto"/>
          <w:sz w:val="21"/>
          <w:szCs w:val="22"/>
          <w:vertAlign w:val="baseline"/>
          <w:lang w:val="en-US" w:eastAsia="zh-CN" w:bidi="ar-SA"/>
        </w:rPr>
        <w:t>。</w:t>
      </w:r>
    </w:p>
    <w:p w14:paraId="7F1E7DB3">
      <w:pPr>
        <w:pStyle w:val="27"/>
        <w:ind w:left="0" w:leftChars="0" w:firstLine="0" w:firstLineChars="0"/>
        <w:rPr>
          <w:rFonts w:hint="eastAsia"/>
          <w:b/>
          <w:bCs/>
          <w:color w:val="auto"/>
          <w:szCs w:val="21"/>
          <w:lang w:val="en-US" w:eastAsia="zh-CN"/>
        </w:rPr>
      </w:pPr>
      <w:r>
        <w:rPr>
          <w:rFonts w:hint="eastAsia"/>
          <w:b/>
          <w:bCs/>
          <w:color w:val="auto"/>
          <w:szCs w:val="21"/>
          <w:lang w:val="en-US" w:eastAsia="zh-CN"/>
        </w:rPr>
        <w:drawing>
          <wp:inline distT="0" distB="0" distL="114300" distR="114300">
            <wp:extent cx="5932170" cy="4364990"/>
            <wp:effectExtent l="0" t="0" r="11430" b="1651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8"/>
                    <a:stretch>
                      <a:fillRect/>
                    </a:stretch>
                  </pic:blipFill>
                  <pic:spPr>
                    <a:xfrm>
                      <a:off x="0" y="0"/>
                      <a:ext cx="5932170" cy="4364990"/>
                    </a:xfrm>
                    <a:prstGeom prst="rect">
                      <a:avLst/>
                    </a:prstGeom>
                    <a:noFill/>
                    <a:ln>
                      <a:noFill/>
                    </a:ln>
                  </pic:spPr>
                </pic:pic>
              </a:graphicData>
            </a:graphic>
          </wp:inline>
        </w:drawing>
      </w:r>
    </w:p>
    <w:p w14:paraId="6A2FC9AB">
      <w:pPr>
        <w:pStyle w:val="39"/>
        <w:keepNext w:val="0"/>
        <w:keepLines w:val="0"/>
        <w:pageBreakBefore w:val="0"/>
        <w:widowControl/>
        <w:numPr>
          <w:ilvl w:val="0"/>
          <w:numId w:val="0"/>
        </w:numPr>
        <w:kinsoku/>
        <w:wordWrap/>
        <w:overflowPunct/>
        <w:topLinePunct w:val="0"/>
        <w:autoSpaceDE/>
        <w:autoSpaceDN/>
        <w:bidi w:val="0"/>
        <w:adjustRightInd/>
        <w:snapToGrid/>
        <w:spacing w:before="312" w:after="312"/>
        <w:jc w:val="center"/>
        <w:textAlignment w:val="auto"/>
        <w:outlineLvl w:val="9"/>
        <w:rPr>
          <w:rFonts w:hint="eastAsia" w:ascii="黑体" w:hAnsi="黑体" w:eastAsia="黑体" w:cs="黑体"/>
          <w:color w:val="auto"/>
          <w:sz w:val="21"/>
          <w:szCs w:val="22"/>
          <w:vertAlign w:val="baseline"/>
          <w:lang w:val="en-US" w:eastAsia="zh-CN" w:bidi="ar-SA"/>
        </w:rPr>
        <w:sectPr>
          <w:footerReference r:id="rId13" w:type="default"/>
          <w:footerReference r:id="rId14"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bookmarkStart w:id="15" w:name="_Toc25755"/>
      <w:r>
        <w:rPr>
          <w:rFonts w:hint="eastAsia" w:ascii="黑体" w:hAnsi="黑体" w:eastAsia="黑体" w:cs="黑体"/>
          <w:color w:val="auto"/>
          <w:sz w:val="21"/>
          <w:szCs w:val="22"/>
          <w:vertAlign w:val="baseline"/>
          <w:lang w:val="en-US" w:eastAsia="zh-CN" w:bidi="ar-SA"/>
        </w:rPr>
        <w:t>图</w:t>
      </w:r>
      <w:r>
        <w:rPr>
          <w:rFonts w:hint="eastAsia" w:hAnsi="黑体" w:cs="黑体"/>
          <w:color w:val="auto"/>
          <w:sz w:val="21"/>
          <w:szCs w:val="22"/>
          <w:vertAlign w:val="baseline"/>
          <w:lang w:val="en-US" w:eastAsia="zh-CN" w:bidi="ar-SA"/>
        </w:rPr>
        <w:t>A</w:t>
      </w:r>
      <w:r>
        <w:rPr>
          <w:rFonts w:hint="eastAsia" w:ascii="黑体" w:hAnsi="黑体" w:eastAsia="黑体" w:cs="黑体"/>
          <w:color w:val="auto"/>
          <w:sz w:val="21"/>
          <w:szCs w:val="22"/>
          <w:vertAlign w:val="baseline"/>
          <w:lang w:val="en-US" w:eastAsia="zh-CN" w:bidi="ar-SA"/>
        </w:rPr>
        <w:t xml:space="preserve">.1  </w:t>
      </w:r>
      <w:r>
        <w:rPr>
          <w:rFonts w:hint="eastAsia"/>
          <w:b w:val="0"/>
          <w:bCs w:val="0"/>
          <w:color w:val="auto"/>
          <w:szCs w:val="21"/>
          <w:lang w:val="en-US" w:eastAsia="zh-CN"/>
        </w:rPr>
        <w:t>GPPS/HIPS能耗统计界区示意</w:t>
      </w:r>
      <w:r>
        <w:rPr>
          <w:rFonts w:hint="eastAsia" w:ascii="黑体" w:hAnsi="黑体" w:eastAsia="黑体" w:cs="黑体"/>
          <w:color w:val="auto"/>
          <w:sz w:val="21"/>
          <w:szCs w:val="22"/>
          <w:vertAlign w:val="baseline"/>
          <w:lang w:val="en-US" w:eastAsia="zh-CN" w:bidi="ar-SA"/>
        </w:rPr>
        <w:t>图</w:t>
      </w:r>
      <w:bookmarkEnd w:id="15"/>
    </w:p>
    <w:p w14:paraId="16A9DEAA">
      <w:pPr>
        <w:pStyle w:val="27"/>
        <w:ind w:left="0" w:leftChars="0" w:firstLine="0" w:firstLineChars="0"/>
        <w:rPr>
          <w:rFonts w:hint="eastAsia"/>
          <w:color w:val="auto"/>
          <w:lang w:val="en-US" w:eastAsia="zh-CN"/>
        </w:rPr>
      </w:pPr>
      <w:r>
        <w:rPr>
          <w:color w:val="auto"/>
        </w:rPr>
        <w:drawing>
          <wp:inline distT="0" distB="0" distL="114300" distR="114300">
            <wp:extent cx="5939155" cy="5458460"/>
            <wp:effectExtent l="0" t="0" r="4445" b="889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9"/>
                    <a:stretch>
                      <a:fillRect/>
                    </a:stretch>
                  </pic:blipFill>
                  <pic:spPr>
                    <a:xfrm>
                      <a:off x="0" y="0"/>
                      <a:ext cx="5939155" cy="5458460"/>
                    </a:xfrm>
                    <a:prstGeom prst="rect">
                      <a:avLst/>
                    </a:prstGeom>
                    <a:noFill/>
                    <a:ln>
                      <a:noFill/>
                    </a:ln>
                  </pic:spPr>
                </pic:pic>
              </a:graphicData>
            </a:graphic>
          </wp:inline>
        </w:drawing>
      </w:r>
    </w:p>
    <w:p w14:paraId="20B32D55">
      <w:pPr>
        <w:pStyle w:val="39"/>
        <w:keepNext w:val="0"/>
        <w:keepLines w:val="0"/>
        <w:pageBreakBefore w:val="0"/>
        <w:widowControl/>
        <w:numPr>
          <w:ilvl w:val="0"/>
          <w:numId w:val="0"/>
        </w:numPr>
        <w:kinsoku/>
        <w:wordWrap/>
        <w:overflowPunct/>
        <w:topLinePunct w:val="0"/>
        <w:autoSpaceDE/>
        <w:autoSpaceDN/>
        <w:bidi w:val="0"/>
        <w:adjustRightInd/>
        <w:snapToGrid/>
        <w:spacing w:before="312" w:after="312"/>
        <w:jc w:val="center"/>
        <w:textAlignment w:val="auto"/>
        <w:outlineLvl w:val="9"/>
        <w:rPr>
          <w:rFonts w:hint="eastAsia"/>
          <w:b w:val="0"/>
          <w:bCs w:val="0"/>
          <w:color w:val="auto"/>
          <w:szCs w:val="21"/>
          <w:lang w:val="en-US" w:eastAsia="zh-CN"/>
        </w:rPr>
      </w:pPr>
      <w:r>
        <w:rPr>
          <w:rFonts w:hint="eastAsia"/>
          <w:b w:val="0"/>
          <w:bCs w:val="0"/>
          <w:color w:val="auto"/>
          <w:szCs w:val="21"/>
          <w:lang w:val="en-US" w:eastAsia="zh-CN"/>
        </w:rPr>
        <w:t>图A.2  EPS能耗统计界区示意图</w:t>
      </w:r>
    </w:p>
    <w:p w14:paraId="21C51500">
      <w:pPr>
        <w:pStyle w:val="27"/>
        <w:rPr>
          <w:rFonts w:hint="eastAsia"/>
          <w:color w:val="auto"/>
          <w:lang w:val="en-US" w:eastAsia="zh-CN"/>
        </w:rPr>
      </w:pPr>
    </w:p>
    <w:p w14:paraId="3A273950">
      <w:pPr>
        <w:rPr>
          <w:rFonts w:hint="eastAsia"/>
          <w:b/>
          <w:bCs/>
          <w:color w:val="auto"/>
          <w:szCs w:val="21"/>
          <w:lang w:val="en-US" w:eastAsia="zh-CN"/>
        </w:rPr>
      </w:pPr>
      <w:r>
        <w:rPr>
          <w:rFonts w:hint="eastAsia"/>
          <w:b/>
          <w:bCs/>
          <w:color w:val="auto"/>
          <w:szCs w:val="21"/>
          <w:lang w:val="en-US" w:eastAsia="zh-CN"/>
        </w:rPr>
        <w:br w:type="page"/>
      </w:r>
    </w:p>
    <w:p w14:paraId="2171F99E">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sectPr>
          <w:footerReference r:id="rId15" w:type="default"/>
          <w:footerReference r:id="rId16"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1233D440">
      <w:pPr>
        <w:pStyle w:val="27"/>
        <w:keepNext w:val="0"/>
        <w:keepLines w:val="0"/>
        <w:pageBreakBefore w:val="0"/>
        <w:widowControl w:val="0"/>
        <w:kinsoku/>
        <w:wordWrap/>
        <w:overflowPunct/>
        <w:topLinePunct w:val="0"/>
        <w:autoSpaceDE w:val="0"/>
        <w:autoSpaceDN w:val="0"/>
        <w:bidi w:val="0"/>
        <w:adjustRightInd/>
        <w:snapToGrid/>
        <w:spacing w:line="283" w:lineRule="exact"/>
        <w:ind w:left="0" w:leftChars="0" w:firstLine="0" w:firstLineChars="0"/>
        <w:textAlignment w:val="auto"/>
        <w:rPr>
          <w:rFonts w:hint="eastAsia" w:ascii="黑体" w:hAnsi="黑体" w:eastAsia="黑体" w:cs="黑体"/>
          <w:color w:val="auto"/>
          <w:sz w:val="21"/>
          <w:szCs w:val="21"/>
          <w:lang w:val="en-US" w:eastAsia="zh-CN" w:bidi="ar-SA"/>
        </w:rPr>
      </w:pPr>
    </w:p>
    <w:p w14:paraId="62676E3A">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s="Times New Roman"/>
          <w:color w:val="auto"/>
          <w:sz w:val="21"/>
          <w:szCs w:val="22"/>
          <w:vertAlign w:val="baseline"/>
          <w:lang w:val="en-US" w:eastAsia="zh-CN" w:bidi="ar-SA"/>
        </w:rPr>
      </w:pPr>
      <w:r>
        <w:rPr>
          <w:rFonts w:hint="eastAsia" w:cs="Times New Roman"/>
          <w:color w:val="auto"/>
          <w:sz w:val="21"/>
          <w:szCs w:val="22"/>
          <w:vertAlign w:val="baseline"/>
          <w:lang w:val="en-US" w:eastAsia="zh-CN" w:bidi="ar-SA"/>
        </w:rPr>
        <w:t>聚苯乙烯二氧化碳排放核算边界示意图参见图 A.3。</w:t>
      </w:r>
    </w:p>
    <w:p w14:paraId="68CB0639">
      <w:pPr>
        <w:pStyle w:val="27"/>
        <w:ind w:left="0" w:leftChars="0" w:firstLine="0" w:firstLineChars="0"/>
        <w:jc w:val="center"/>
        <w:rPr>
          <w:rFonts w:hint="eastAsia"/>
          <w:lang w:val="en-US" w:eastAsia="zh-CN"/>
        </w:rPr>
      </w:pPr>
      <w:r>
        <w:rPr>
          <w:rFonts w:hint="eastAsia"/>
          <w:lang w:val="en-US" w:eastAsia="zh-CN"/>
        </w:rPr>
        <w:drawing>
          <wp:inline distT="0" distB="0" distL="114300" distR="114300">
            <wp:extent cx="5267960" cy="4137660"/>
            <wp:effectExtent l="0" t="0" r="8890" b="1524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pic:cNvPicPr>
                      <a:picLocks noChangeAspect="1"/>
                    </pic:cNvPicPr>
                  </pic:nvPicPr>
                  <pic:blipFill>
                    <a:blip r:embed="rId20"/>
                    <a:stretch>
                      <a:fillRect/>
                    </a:stretch>
                  </pic:blipFill>
                  <pic:spPr>
                    <a:xfrm>
                      <a:off x="0" y="0"/>
                      <a:ext cx="5267960" cy="4137660"/>
                    </a:xfrm>
                    <a:prstGeom prst="rect">
                      <a:avLst/>
                    </a:prstGeom>
                    <a:noFill/>
                    <a:ln>
                      <a:noFill/>
                    </a:ln>
                  </pic:spPr>
                </pic:pic>
              </a:graphicData>
            </a:graphic>
          </wp:inline>
        </w:drawing>
      </w:r>
    </w:p>
    <w:p w14:paraId="601C337D">
      <w:pPr>
        <w:pStyle w:val="39"/>
        <w:keepNext w:val="0"/>
        <w:keepLines w:val="0"/>
        <w:pageBreakBefore w:val="0"/>
        <w:widowControl/>
        <w:numPr>
          <w:ilvl w:val="0"/>
          <w:numId w:val="0"/>
        </w:numPr>
        <w:kinsoku/>
        <w:wordWrap/>
        <w:overflowPunct/>
        <w:topLinePunct w:val="0"/>
        <w:autoSpaceDE/>
        <w:autoSpaceDN/>
        <w:bidi w:val="0"/>
        <w:adjustRightInd/>
        <w:snapToGrid/>
        <w:spacing w:before="312" w:after="312"/>
        <w:jc w:val="center"/>
        <w:textAlignment w:val="auto"/>
        <w:outlineLvl w:val="9"/>
        <w:rPr>
          <w:rFonts w:hint="eastAsia" w:ascii="黑体" w:hAnsi="黑体" w:eastAsia="黑体" w:cs="黑体"/>
          <w:color w:val="auto"/>
          <w:sz w:val="21"/>
          <w:szCs w:val="22"/>
          <w:vertAlign w:val="baseline"/>
          <w:lang w:val="en-US" w:eastAsia="zh-CN" w:bidi="ar-SA"/>
        </w:rPr>
      </w:pPr>
      <w:r>
        <w:rPr>
          <w:rFonts w:hint="eastAsia" w:ascii="黑体" w:hAnsi="黑体" w:eastAsia="黑体" w:cs="黑体"/>
          <w:color w:val="auto"/>
          <w:sz w:val="21"/>
          <w:szCs w:val="22"/>
          <w:vertAlign w:val="baseline"/>
          <w:lang w:val="en-US" w:eastAsia="zh-CN" w:bidi="ar-SA"/>
        </w:rPr>
        <w:t>图</w:t>
      </w:r>
      <w:r>
        <w:rPr>
          <w:rFonts w:hint="eastAsia" w:hAnsi="黑体" w:cs="黑体"/>
          <w:color w:val="auto"/>
          <w:sz w:val="21"/>
          <w:szCs w:val="22"/>
          <w:vertAlign w:val="baseline"/>
          <w:lang w:val="en-US" w:eastAsia="zh-CN" w:bidi="ar-SA"/>
        </w:rPr>
        <w:t>A</w:t>
      </w:r>
      <w:r>
        <w:rPr>
          <w:rFonts w:hint="eastAsia" w:ascii="黑体" w:hAnsi="黑体" w:eastAsia="黑体" w:cs="黑体"/>
          <w:color w:val="auto"/>
          <w:sz w:val="21"/>
          <w:szCs w:val="22"/>
          <w:vertAlign w:val="baseline"/>
          <w:lang w:val="en-US" w:eastAsia="zh-CN" w:bidi="ar-SA"/>
        </w:rPr>
        <w:t>.</w:t>
      </w:r>
      <w:r>
        <w:rPr>
          <w:rFonts w:hint="eastAsia" w:hAnsi="黑体" w:cs="黑体"/>
          <w:color w:val="auto"/>
          <w:sz w:val="21"/>
          <w:szCs w:val="22"/>
          <w:vertAlign w:val="baseline"/>
          <w:lang w:val="en-US" w:eastAsia="zh-CN" w:bidi="ar-SA"/>
        </w:rPr>
        <w:t>3</w:t>
      </w:r>
      <w:r>
        <w:rPr>
          <w:rFonts w:hint="eastAsia" w:ascii="黑体" w:hAnsi="黑体" w:eastAsia="黑体" w:cs="黑体"/>
          <w:color w:val="auto"/>
          <w:sz w:val="21"/>
          <w:szCs w:val="22"/>
          <w:vertAlign w:val="baseline"/>
          <w:lang w:val="en-US" w:eastAsia="zh-CN" w:bidi="ar-SA"/>
        </w:rPr>
        <w:t xml:space="preserve">  </w:t>
      </w:r>
      <w:r>
        <w:rPr>
          <w:rFonts w:hint="eastAsia"/>
          <w:b w:val="0"/>
          <w:bCs w:val="0"/>
          <w:color w:val="auto"/>
          <w:szCs w:val="21"/>
          <w:lang w:val="en-US" w:eastAsia="zh-CN"/>
        </w:rPr>
        <w:t>聚苯乙烯二氧化碳排放核算边界示意</w:t>
      </w:r>
      <w:r>
        <w:rPr>
          <w:rFonts w:hint="eastAsia" w:ascii="黑体" w:hAnsi="黑体" w:eastAsia="黑体" w:cs="黑体"/>
          <w:color w:val="auto"/>
          <w:sz w:val="21"/>
          <w:szCs w:val="22"/>
          <w:vertAlign w:val="baseline"/>
          <w:lang w:val="en-US" w:eastAsia="zh-CN" w:bidi="ar-SA"/>
        </w:rPr>
        <w:t>图</w:t>
      </w:r>
    </w:p>
    <w:p w14:paraId="3D94E6E9">
      <w:pPr>
        <w:pStyle w:val="27"/>
        <w:rPr>
          <w:rFonts w:hint="eastAsia" w:ascii="黑体" w:hAnsi="黑体" w:eastAsia="黑体" w:cs="黑体"/>
          <w:color w:val="auto"/>
          <w:sz w:val="21"/>
          <w:szCs w:val="21"/>
          <w:lang w:val="en-US" w:eastAsia="zh-CN" w:bidi="ar-SA"/>
        </w:rPr>
      </w:pPr>
    </w:p>
    <w:p w14:paraId="44CCA2DB">
      <w:pPr>
        <w:pStyle w:val="27"/>
        <w:rPr>
          <w:rFonts w:hint="eastAsia" w:ascii="黑体" w:hAnsi="黑体" w:eastAsia="黑体" w:cs="黑体"/>
          <w:color w:val="auto"/>
          <w:sz w:val="21"/>
          <w:szCs w:val="21"/>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2AE5633E">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9"/>
        <w:rPr>
          <w:rFonts w:hint="eastAsia" w:ascii="黑体" w:hAnsi="黑体" w:eastAsia="黑体" w:cs="黑体"/>
          <w:color w:val="auto"/>
          <w:sz w:val="21"/>
          <w:szCs w:val="21"/>
          <w:lang w:val="en-US" w:eastAsia="zh-CN" w:bidi="ar-SA"/>
        </w:rPr>
      </w:pPr>
    </w:p>
    <w:p w14:paraId="4D52E75F">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附录</w:t>
      </w:r>
      <w:r>
        <w:rPr>
          <w:rFonts w:hint="eastAsia" w:hAnsi="黑体" w:cs="黑体"/>
          <w:color w:val="auto"/>
          <w:sz w:val="21"/>
          <w:szCs w:val="21"/>
          <w:lang w:val="en-US" w:eastAsia="zh-CN" w:bidi="ar-SA"/>
        </w:rPr>
        <w:t>B</w:t>
      </w:r>
    </w:p>
    <w:p w14:paraId="4B86212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（资料性）</w:t>
      </w:r>
    </w:p>
    <w:p w14:paraId="14654EE7">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各种能源折标准煤参考系数表</w:t>
      </w:r>
    </w:p>
    <w:p w14:paraId="1E1DEBB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01A1E888">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r>
        <w:rPr>
          <w:rFonts w:hint="eastAsia" w:ascii="宋体" w:hAnsi="Times New Roman" w:eastAsia="宋体" w:cs="Times New Roman"/>
          <w:color w:val="auto"/>
          <w:sz w:val="21"/>
          <w:szCs w:val="22"/>
          <w:vertAlign w:val="baseline"/>
          <w:lang w:val="en-US" w:eastAsia="zh-CN" w:bidi="ar-SA"/>
        </w:rPr>
        <w:t>各种能源折标准煤参考系数表见表 B.1。</w:t>
      </w:r>
    </w:p>
    <w:p w14:paraId="76F5DD87">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680655BA">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b w:val="0"/>
          <w:bCs w:val="0"/>
          <w:color w:val="auto"/>
          <w:szCs w:val="21"/>
          <w:lang w:val="en-US" w:eastAsia="zh-CN"/>
        </w:rPr>
      </w:pPr>
      <w:r>
        <w:rPr>
          <w:rFonts w:hint="eastAsia"/>
          <w:b w:val="0"/>
          <w:bCs w:val="0"/>
          <w:color w:val="auto"/>
          <w:szCs w:val="21"/>
          <w:lang w:val="en-US" w:eastAsia="zh-CN"/>
        </w:rPr>
        <w:t>表B.1  各种能源折标准煤参考系数表</w:t>
      </w:r>
    </w:p>
    <w:p w14:paraId="30673452">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tbl>
      <w:tblPr>
        <w:tblStyle w:val="11"/>
        <w:tblW w:w="5022"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6"/>
        <w:gridCol w:w="3084"/>
        <w:gridCol w:w="5242"/>
      </w:tblGrid>
      <w:tr w14:paraId="367D312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blHeader/>
          <w:jc w:val="center"/>
        </w:trPr>
        <w:tc>
          <w:tcPr>
            <w:tcW w:w="669" w:type="pct"/>
            <w:tcBorders>
              <w:bottom w:val="single" w:color="auto" w:sz="12" w:space="0"/>
              <w:right w:val="single" w:color="000000" w:sz="4" w:space="0"/>
            </w:tcBorders>
            <w:shd w:val="clear" w:color="auto" w:fill="auto"/>
            <w:vAlign w:val="center"/>
          </w:tcPr>
          <w:p w14:paraId="543B5F6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bookmarkStart w:id="16" w:name="_Toc2297"/>
            <w:r>
              <w:rPr>
                <w:rFonts w:hint="default" w:ascii="Times New Roman" w:hAnsi="Times New Roman" w:cs="Times New Roman"/>
                <w:b w:val="0"/>
                <w:bCs w:val="0"/>
                <w:i w:val="0"/>
                <w:iCs w:val="0"/>
                <w:color w:val="auto"/>
                <w:kern w:val="0"/>
                <w:sz w:val="18"/>
                <w:szCs w:val="18"/>
                <w:u w:val="none"/>
                <w:lang w:val="en-US" w:eastAsia="zh-CN" w:bidi="ar"/>
              </w:rPr>
              <w:t>序号</w:t>
            </w:r>
          </w:p>
        </w:tc>
        <w:tc>
          <w:tcPr>
            <w:tcW w:w="1604" w:type="pct"/>
            <w:tcBorders>
              <w:left w:val="single" w:color="000000" w:sz="4" w:space="0"/>
              <w:bottom w:val="single" w:color="auto" w:sz="12" w:space="0"/>
              <w:right w:val="single" w:color="000000" w:sz="4" w:space="0"/>
            </w:tcBorders>
            <w:shd w:val="clear" w:color="auto" w:fill="auto"/>
            <w:vAlign w:val="center"/>
          </w:tcPr>
          <w:p w14:paraId="3FA8ACA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u w:val="none"/>
              </w:rPr>
            </w:pPr>
            <w:r>
              <w:rPr>
                <w:rFonts w:hint="default" w:ascii="Times New Roman" w:hAnsi="Times New Roman" w:eastAsia="宋体" w:cs="Times New Roman"/>
                <w:b w:val="0"/>
                <w:bCs w:val="0"/>
                <w:i w:val="0"/>
                <w:iCs w:val="0"/>
                <w:color w:val="auto"/>
                <w:kern w:val="0"/>
                <w:sz w:val="18"/>
                <w:szCs w:val="18"/>
                <w:u w:val="none"/>
                <w:lang w:val="en-US" w:eastAsia="zh-CN" w:bidi="ar"/>
              </w:rPr>
              <w:t>能源名称</w:t>
            </w:r>
          </w:p>
        </w:tc>
        <w:tc>
          <w:tcPr>
            <w:tcW w:w="2726" w:type="pct"/>
            <w:tcBorders>
              <w:left w:val="single" w:color="000000" w:sz="4" w:space="0"/>
              <w:bottom w:val="single" w:color="auto" w:sz="12" w:space="0"/>
            </w:tcBorders>
            <w:shd w:val="clear" w:color="auto" w:fill="auto"/>
            <w:vAlign w:val="center"/>
          </w:tcPr>
          <w:p w14:paraId="22AB88B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折标准煤系数</w:t>
            </w:r>
            <w:r>
              <w:rPr>
                <w:rFonts w:hint="default" w:ascii="Times New Roman" w:hAnsi="Times New Roman" w:cs="Times New Roman"/>
                <w:b w:val="0"/>
                <w:bCs w:val="0"/>
                <w:i w:val="0"/>
                <w:iCs w:val="0"/>
                <w:color w:val="auto"/>
                <w:kern w:val="0"/>
                <w:sz w:val="18"/>
                <w:szCs w:val="18"/>
                <w:u w:val="none"/>
                <w:lang w:val="en-US" w:eastAsia="zh-CN" w:bidi="ar"/>
              </w:rPr>
              <w:t>（参考值）</w:t>
            </w:r>
          </w:p>
        </w:tc>
      </w:tr>
      <w:tr w14:paraId="6340BEF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auto" w:sz="12" w:space="0"/>
              <w:bottom w:val="single" w:color="000000" w:sz="4" w:space="0"/>
              <w:right w:val="single" w:color="000000" w:sz="4" w:space="0"/>
              <w:tl2br w:val="nil"/>
              <w:tr2bl w:val="nil"/>
            </w:tcBorders>
            <w:shd w:val="clear" w:color="auto" w:fill="auto"/>
            <w:vAlign w:val="center"/>
          </w:tcPr>
          <w:p w14:paraId="5888049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w:t>
            </w:r>
          </w:p>
        </w:tc>
        <w:tc>
          <w:tcPr>
            <w:tcW w:w="1604" w:type="pct"/>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6FFBC2F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原煤</w:t>
            </w:r>
          </w:p>
        </w:tc>
        <w:tc>
          <w:tcPr>
            <w:tcW w:w="2726" w:type="pct"/>
            <w:tcBorders>
              <w:top w:val="single" w:color="auto" w:sz="12" w:space="0"/>
              <w:left w:val="single" w:color="000000" w:sz="4" w:space="0"/>
              <w:bottom w:val="single" w:color="000000" w:sz="4" w:space="0"/>
              <w:tl2br w:val="nil"/>
              <w:tr2bl w:val="nil"/>
            </w:tcBorders>
            <w:shd w:val="clear" w:color="auto" w:fill="auto"/>
            <w:vAlign w:val="center"/>
          </w:tcPr>
          <w:p w14:paraId="0BD877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0.7143 kgce/kg</w:t>
            </w:r>
          </w:p>
        </w:tc>
      </w:tr>
      <w:tr w14:paraId="6F47441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1753B19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B8D7EA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洗精煤</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A0E82B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0.9000 kgce/kg</w:t>
            </w:r>
          </w:p>
        </w:tc>
      </w:tr>
      <w:tr w14:paraId="3F2390C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15AC2AA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C6FCDF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洗中煤</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C5A3B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0.2857 kgce/kg</w:t>
            </w:r>
          </w:p>
        </w:tc>
      </w:tr>
      <w:tr w14:paraId="2E8D3C0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802EAA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E81E3C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煤泥</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315BED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0.2857 kgce/kg</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0.4286 kgce/kg</w:t>
            </w:r>
          </w:p>
        </w:tc>
      </w:tr>
      <w:tr w14:paraId="101607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4C2C8F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23AEF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煤焦油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38E814D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1.14</w:t>
            </w:r>
            <w:r>
              <w:rPr>
                <w:rFonts w:hint="eastAsia" w:cs="Times New Roman"/>
                <w:i w:val="0"/>
                <w:iCs w:val="0"/>
                <w:color w:val="auto"/>
                <w:kern w:val="0"/>
                <w:sz w:val="18"/>
                <w:szCs w:val="18"/>
                <w:u w:val="none"/>
                <w:lang w:val="en-US" w:eastAsia="zh-CN" w:bidi="ar"/>
              </w:rPr>
              <w:t>2</w:t>
            </w:r>
            <w:r>
              <w:rPr>
                <w:rFonts w:hint="default" w:ascii="Times New Roman" w:hAnsi="Times New Roman" w:eastAsia="宋体" w:cs="Times New Roman"/>
                <w:i w:val="0"/>
                <w:iCs w:val="0"/>
                <w:color w:val="auto"/>
                <w:kern w:val="0"/>
                <w:sz w:val="18"/>
                <w:szCs w:val="18"/>
                <w:u w:val="none"/>
                <w:lang w:val="en-US" w:eastAsia="zh-CN" w:bidi="ar"/>
              </w:rPr>
              <w:t>9 kgce/kg</w:t>
            </w:r>
          </w:p>
        </w:tc>
      </w:tr>
      <w:tr w14:paraId="0036E94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B623D7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6</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25292A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原油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3F770FB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1.4286 kgce/kg</w:t>
            </w:r>
          </w:p>
        </w:tc>
      </w:tr>
      <w:tr w14:paraId="6C822DE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9CFBA9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7</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82FC58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燃料油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5B8578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1.4286 kgce/kg</w:t>
            </w:r>
          </w:p>
        </w:tc>
      </w:tr>
      <w:tr w14:paraId="198C80A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2BDF3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8</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40FB56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汽油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406F50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1.4714 kgce/kg</w:t>
            </w:r>
          </w:p>
        </w:tc>
      </w:tr>
      <w:tr w14:paraId="23F76FA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30934BA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3DED0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4BCA111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1.4714 kgce/kg</w:t>
            </w:r>
          </w:p>
        </w:tc>
      </w:tr>
      <w:tr w14:paraId="375DBF8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2B3BF3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10</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AFCE7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柴油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BDD0B0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1.4571 kgce/kg</w:t>
            </w:r>
          </w:p>
        </w:tc>
      </w:tr>
      <w:tr w14:paraId="7792E65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1678A6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11</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2E451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天然气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B7CDA0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1.1000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r>
              <w:rPr>
                <w:rFonts w:hint="eastAsia" w:ascii="Times New Roman" w:hAnsi="Times New Roman" w:cs="Times New Roman"/>
                <w:i w:val="0"/>
                <w:iCs w:val="0"/>
                <w:color w:val="auto"/>
                <w:kern w:val="0"/>
                <w:sz w:val="18"/>
                <w:szCs w:val="18"/>
                <w:u w:val="none"/>
                <w:lang w:val="en-US" w:eastAsia="zh-CN" w:bidi="ar"/>
              </w:rPr>
              <w:t>~</w:t>
            </w:r>
            <w:r>
              <w:rPr>
                <w:rFonts w:hint="default" w:ascii="Times New Roman" w:hAnsi="Times New Roman" w:eastAsia="宋体" w:cs="Times New Roman"/>
                <w:i w:val="0"/>
                <w:iCs w:val="0"/>
                <w:color w:val="auto"/>
                <w:kern w:val="0"/>
                <w:sz w:val="18"/>
                <w:szCs w:val="18"/>
                <w:u w:val="none"/>
                <w:lang w:val="en-US" w:eastAsia="zh-CN" w:bidi="ar"/>
              </w:rPr>
              <w:t>1.3300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p>
        </w:tc>
      </w:tr>
      <w:tr w14:paraId="69243F8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3387283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AA6452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液化天然气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FC557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1.7572 kgce/kg</w:t>
            </w:r>
          </w:p>
        </w:tc>
      </w:tr>
      <w:tr w14:paraId="1A9D8BA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315B95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4A75C2">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液化石油气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3D33E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1.7143</w:t>
            </w:r>
            <w:r>
              <w:rPr>
                <w:rFonts w:hint="default" w:ascii="Times New Roman" w:hAnsi="Times New Roman" w:cs="Times New Roman"/>
                <w:i w:val="0"/>
                <w:iCs w:val="0"/>
                <w:color w:val="auto"/>
                <w:kern w:val="0"/>
                <w:sz w:val="18"/>
                <w:szCs w:val="18"/>
                <w:u w:val="none"/>
                <w:lang w:val="en-US" w:eastAsia="zh-CN" w:bidi="ar"/>
              </w:rPr>
              <w:t xml:space="preserve"> kgce/kg</w:t>
            </w:r>
          </w:p>
        </w:tc>
      </w:tr>
      <w:tr w14:paraId="6EAB0BF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B07B7F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74A5D86">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炼厂干气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ABDC19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1.5714</w:t>
            </w:r>
            <w:r>
              <w:rPr>
                <w:rFonts w:hint="default" w:ascii="Times New Roman" w:hAnsi="Times New Roman" w:cs="Times New Roman"/>
                <w:i w:val="0"/>
                <w:iCs w:val="0"/>
                <w:color w:val="auto"/>
                <w:kern w:val="0"/>
                <w:sz w:val="18"/>
                <w:szCs w:val="18"/>
                <w:u w:val="none"/>
                <w:lang w:val="en-US" w:eastAsia="zh-CN" w:bidi="ar"/>
              </w:rPr>
              <w:t xml:space="preserve"> kgce/kg</w:t>
            </w:r>
          </w:p>
        </w:tc>
      </w:tr>
      <w:tr w14:paraId="60D4083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733930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4F4D40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氢气（</w:t>
            </w:r>
            <w:r>
              <w:rPr>
                <w:rFonts w:hint="eastAsia" w:cs="Times New Roman"/>
                <w:i w:val="0"/>
                <w:iCs w:val="0"/>
                <w:color w:val="auto"/>
                <w:kern w:val="0"/>
                <w:sz w:val="18"/>
                <w:szCs w:val="18"/>
                <w:u w:val="none"/>
                <w:lang w:val="en-US" w:eastAsia="zh-CN" w:bidi="ar"/>
              </w:rPr>
              <w:t>用作燃料，</w:t>
            </w:r>
            <w:r>
              <w:rPr>
                <w:rFonts w:hint="default" w:ascii="Times New Roman" w:hAnsi="Times New Roman" w:eastAsia="宋体" w:cs="Times New Roman"/>
                <w:i w:val="0"/>
                <w:iCs w:val="0"/>
                <w:color w:val="auto"/>
                <w:kern w:val="0"/>
                <w:sz w:val="18"/>
                <w:szCs w:val="18"/>
                <w:u w:val="none"/>
                <w:lang w:val="en-US" w:eastAsia="zh-CN" w:bidi="ar"/>
              </w:rPr>
              <w:t>密度0.08</w:t>
            </w:r>
            <w:r>
              <w:rPr>
                <w:rFonts w:hint="eastAsia" w:cs="Times New Roman"/>
                <w:i w:val="0"/>
                <w:iCs w:val="0"/>
                <w:color w:val="auto"/>
                <w:kern w:val="0"/>
                <w:sz w:val="18"/>
                <w:szCs w:val="18"/>
                <w:u w:val="none"/>
                <w:lang w:val="en-US" w:eastAsia="zh-CN" w:bidi="ar"/>
              </w:rPr>
              <w:t>2</w:t>
            </w:r>
            <w:r>
              <w:rPr>
                <w:rFonts w:hint="default" w:ascii="Times New Roman" w:hAnsi="Times New Roman" w:eastAsia="宋体" w:cs="Times New Roman"/>
                <w:i w:val="0"/>
                <w:iCs w:val="0"/>
                <w:color w:val="auto"/>
                <w:kern w:val="0"/>
                <w:sz w:val="18"/>
                <w:szCs w:val="18"/>
                <w:u w:val="none"/>
                <w:lang w:val="en-US" w:eastAsia="zh-CN" w:bidi="ar"/>
              </w:rPr>
              <w:t>kg/m</w:t>
            </w:r>
            <w:r>
              <w:rPr>
                <w:rFonts w:hint="eastAsia" w:cs="Times New Roman"/>
                <w:i w:val="0"/>
                <w:iCs w:val="0"/>
                <w:color w:val="auto"/>
                <w:kern w:val="0"/>
                <w:sz w:val="18"/>
                <w:szCs w:val="18"/>
                <w:u w:val="none"/>
                <w:vertAlign w:val="superscript"/>
                <w:lang w:val="en-US" w:eastAsia="zh-CN" w:bidi="ar"/>
              </w:rPr>
              <w:t>3</w:t>
            </w:r>
            <w:r>
              <w:rPr>
                <w:rFonts w:hint="default" w:ascii="Times New Roman" w:hAnsi="Times New Roman" w:eastAsia="宋体" w:cs="Times New Roman"/>
                <w:i w:val="0"/>
                <w:iCs w:val="0"/>
                <w:color w:val="auto"/>
                <w:kern w:val="0"/>
                <w:sz w:val="18"/>
                <w:szCs w:val="18"/>
                <w:u w:val="none"/>
                <w:lang w:val="en-US" w:eastAsia="zh-CN" w:bidi="ar"/>
              </w:rPr>
              <w:t>）</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78A62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0.3329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p>
        </w:tc>
      </w:tr>
      <w:tr w14:paraId="0AE3AA9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8E584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6</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403B8A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焦炉煤气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AB6359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0.5714 kgce/m</w:t>
            </w:r>
            <w:r>
              <w:rPr>
                <w:rFonts w:hint="eastAsia" w:cs="Times New Roman"/>
                <w:i w:val="0"/>
                <w:iCs w:val="0"/>
                <w:color w:val="auto"/>
                <w:kern w:val="0"/>
                <w:sz w:val="18"/>
                <w:szCs w:val="18"/>
                <w:u w:val="none"/>
                <w:vertAlign w:val="superscript"/>
                <w:lang w:val="en-US" w:eastAsia="zh-CN" w:bidi="ar"/>
              </w:rPr>
              <w:t>3</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0.6143 kgce/m</w:t>
            </w:r>
            <w:r>
              <w:rPr>
                <w:rFonts w:hint="eastAsia" w:cs="Times New Roman"/>
                <w:i w:val="0"/>
                <w:iCs w:val="0"/>
                <w:color w:val="auto"/>
                <w:kern w:val="0"/>
                <w:sz w:val="18"/>
                <w:szCs w:val="18"/>
                <w:u w:val="none"/>
                <w:vertAlign w:val="superscript"/>
                <w:lang w:val="en-US" w:eastAsia="zh-CN" w:bidi="ar"/>
              </w:rPr>
              <w:t>3</w:t>
            </w:r>
          </w:p>
        </w:tc>
      </w:tr>
      <w:tr w14:paraId="53146A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E472DB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7</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39DAB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高炉煤气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93CD36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0.1286 kgce/m</w:t>
            </w:r>
            <w:r>
              <w:rPr>
                <w:rFonts w:hint="eastAsia" w:cs="Times New Roman"/>
                <w:i w:val="0"/>
                <w:iCs w:val="0"/>
                <w:color w:val="auto"/>
                <w:kern w:val="0"/>
                <w:sz w:val="18"/>
                <w:szCs w:val="18"/>
                <w:u w:val="none"/>
                <w:vertAlign w:val="superscript"/>
                <w:lang w:val="en-US" w:eastAsia="zh-CN" w:bidi="ar"/>
              </w:rPr>
              <w:t>3</w:t>
            </w:r>
          </w:p>
        </w:tc>
      </w:tr>
      <w:tr w14:paraId="6B99ABA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33A63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8</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37552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发生炉煤气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1F8E36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0.1786 kgce/m</w:t>
            </w:r>
            <w:r>
              <w:rPr>
                <w:rFonts w:hint="eastAsia" w:cs="Times New Roman"/>
                <w:i w:val="0"/>
                <w:iCs w:val="0"/>
                <w:color w:val="auto"/>
                <w:kern w:val="0"/>
                <w:sz w:val="18"/>
                <w:szCs w:val="18"/>
                <w:u w:val="none"/>
                <w:vertAlign w:val="superscript"/>
                <w:lang w:val="en-US" w:eastAsia="zh-CN" w:bidi="ar"/>
              </w:rPr>
              <w:t>3</w:t>
            </w:r>
          </w:p>
        </w:tc>
      </w:tr>
      <w:tr w14:paraId="3B11A62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502649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9</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97052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重油催化裂解煤气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1C35C1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0.6571 kgce/m</w:t>
            </w:r>
            <w:r>
              <w:rPr>
                <w:rFonts w:hint="eastAsia" w:cs="Times New Roman"/>
                <w:i w:val="0"/>
                <w:iCs w:val="0"/>
                <w:color w:val="auto"/>
                <w:kern w:val="0"/>
                <w:sz w:val="18"/>
                <w:szCs w:val="18"/>
                <w:u w:val="none"/>
                <w:vertAlign w:val="superscript"/>
                <w:lang w:val="en-US" w:eastAsia="zh-CN" w:bidi="ar"/>
              </w:rPr>
              <w:t>3</w:t>
            </w:r>
          </w:p>
        </w:tc>
      </w:tr>
      <w:tr w14:paraId="5FD7241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45816C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35370C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重油热裂解煤气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555F0F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1.2143 kgce/m</w:t>
            </w:r>
            <w:r>
              <w:rPr>
                <w:rFonts w:hint="eastAsia" w:cs="Times New Roman"/>
                <w:i w:val="0"/>
                <w:iCs w:val="0"/>
                <w:color w:val="auto"/>
                <w:kern w:val="0"/>
                <w:sz w:val="18"/>
                <w:szCs w:val="18"/>
                <w:u w:val="none"/>
                <w:vertAlign w:val="superscript"/>
                <w:lang w:val="en-US" w:eastAsia="zh-CN" w:bidi="ar"/>
              </w:rPr>
              <w:t>3</w:t>
            </w:r>
          </w:p>
        </w:tc>
      </w:tr>
      <w:tr w14:paraId="783A7B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32A7D9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21</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624E7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水煤气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A3AB4B3">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1.4286 kgce/kg</w:t>
            </w:r>
          </w:p>
        </w:tc>
      </w:tr>
      <w:tr w14:paraId="43B82EC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76F21C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10484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粗苯</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EA46BB1">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0.6794 kgce/kg</w:t>
            </w:r>
          </w:p>
        </w:tc>
      </w:tr>
      <w:tr w14:paraId="3DC175F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DB026D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BDACD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甲醇（燃料）</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B039F49">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cs="Times New Roman"/>
                <w:i w:val="0"/>
                <w:iCs w:val="0"/>
                <w:color w:val="auto"/>
                <w:kern w:val="0"/>
                <w:sz w:val="18"/>
                <w:szCs w:val="18"/>
                <w:u w:val="none"/>
                <w:lang w:val="en-US" w:eastAsia="zh-CN" w:bidi="ar"/>
              </w:rPr>
              <w:t>0.6794 kgce/kg</w:t>
            </w:r>
          </w:p>
        </w:tc>
      </w:tr>
      <w:tr w14:paraId="5F3EEFF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A3F759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A260625">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乙醇（燃料）</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2167DE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cs="Times New Roman"/>
                <w:i w:val="0"/>
                <w:iCs w:val="0"/>
                <w:color w:val="auto"/>
                <w:kern w:val="0"/>
                <w:sz w:val="18"/>
                <w:szCs w:val="18"/>
                <w:u w:val="none"/>
                <w:lang w:val="en-US" w:eastAsia="zh-CN" w:bidi="ar"/>
              </w:rPr>
              <w:t>0.9144 kgce/kg</w:t>
            </w:r>
          </w:p>
        </w:tc>
      </w:tr>
      <w:tr w14:paraId="1734BB0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F22364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0808E68">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电</w:t>
            </w:r>
            <w:r>
              <w:rPr>
                <w:rFonts w:hint="default" w:ascii="宋体" w:hAnsi="宋体" w:eastAsia="宋体" w:cs="宋体"/>
                <w:i w:val="0"/>
                <w:iCs w:val="0"/>
                <w:color w:val="auto"/>
                <w:kern w:val="0"/>
                <w:sz w:val="18"/>
                <w:szCs w:val="18"/>
                <w:u w:val="none"/>
                <w:lang w:val="en-US" w:eastAsia="zh-CN" w:bidi="ar"/>
              </w:rPr>
              <w:t>力</w:t>
            </w:r>
            <w:r>
              <w:rPr>
                <w:rFonts w:hint="eastAsia" w:ascii="宋体" w:hAnsi="宋体" w:cs="宋体"/>
                <w:i w:val="0"/>
                <w:iCs w:val="0"/>
                <w:color w:val="auto"/>
                <w:kern w:val="0"/>
                <w:sz w:val="18"/>
                <w:szCs w:val="18"/>
                <w:u w:val="none"/>
                <w:lang w:val="en-US" w:eastAsia="zh-CN" w:bidi="ar"/>
              </w:rPr>
              <w:t>（当量值）</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192C50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 xml:space="preserve">0.1229 </w:t>
            </w:r>
            <w:r>
              <w:rPr>
                <w:rFonts w:hint="default" w:ascii="Times New Roman" w:hAnsi="Times New Roman" w:cs="Times New Roman"/>
                <w:i w:val="0"/>
                <w:iCs w:val="0"/>
                <w:color w:val="auto"/>
                <w:kern w:val="0"/>
                <w:sz w:val="18"/>
                <w:szCs w:val="18"/>
                <w:u w:val="none"/>
                <w:lang w:val="en-US" w:eastAsia="zh-CN" w:bidi="ar"/>
              </w:rPr>
              <w:t>kgce/</w:t>
            </w:r>
            <w:r>
              <w:rPr>
                <w:rFonts w:hint="eastAsia" w:cs="Times New Roman"/>
                <w:i w:val="0"/>
                <w:iCs w:val="0"/>
                <w:color w:val="auto"/>
                <w:kern w:val="0"/>
                <w:sz w:val="18"/>
                <w:szCs w:val="18"/>
                <w:u w:val="none"/>
                <w:lang w:val="en-US" w:eastAsia="zh-CN" w:bidi="ar"/>
              </w:rPr>
              <w:t>（kW·h）</w:t>
            </w:r>
          </w:p>
        </w:tc>
      </w:tr>
      <w:tr w14:paraId="2E2BAC0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12" w:space="0"/>
              <w:right w:val="single" w:color="000000" w:sz="4" w:space="0"/>
            </w:tcBorders>
            <w:shd w:val="clear" w:color="auto" w:fill="auto"/>
            <w:vAlign w:val="center"/>
          </w:tcPr>
          <w:p w14:paraId="6FB67AE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w:t>
            </w:r>
          </w:p>
        </w:tc>
        <w:tc>
          <w:tcPr>
            <w:tcW w:w="1604"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6181535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热力（当量值）</w:t>
            </w:r>
          </w:p>
        </w:tc>
        <w:tc>
          <w:tcPr>
            <w:tcW w:w="2726" w:type="pct"/>
            <w:tcBorders>
              <w:top w:val="single" w:color="000000" w:sz="4" w:space="0"/>
              <w:left w:val="single" w:color="000000" w:sz="4" w:space="0"/>
              <w:bottom w:val="single" w:color="000000" w:sz="12" w:space="0"/>
            </w:tcBorders>
            <w:shd w:val="clear" w:color="auto" w:fill="auto"/>
            <w:vAlign w:val="center"/>
          </w:tcPr>
          <w:p w14:paraId="03B4EC2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0.03412 kgce/MJ</w:t>
            </w:r>
          </w:p>
        </w:tc>
      </w:tr>
    </w:tbl>
    <w:p w14:paraId="43EFEABB">
      <w:pPr>
        <w:bidi w:val="0"/>
        <w:rPr>
          <w:rFonts w:hint="eastAsia"/>
          <w:color w:val="auto"/>
          <w:lang w:val="en-US" w:eastAsia="zh-CN"/>
        </w:rPr>
      </w:pPr>
    </w:p>
    <w:p w14:paraId="5E7DD0EA">
      <w:pPr>
        <w:bidi w:val="0"/>
        <w:rPr>
          <w:rFonts w:hint="eastAsia"/>
          <w:color w:val="auto"/>
          <w:lang w:val="en-US" w:eastAsia="zh-CN"/>
        </w:rPr>
      </w:pPr>
    </w:p>
    <w:p w14:paraId="43AA0B71">
      <w:pPr>
        <w:pStyle w:val="27"/>
        <w:rPr>
          <w:rFonts w:hint="eastAsia"/>
          <w:color w:val="auto"/>
          <w:lang w:val="en-US" w:eastAsia="zh-CN"/>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513A4FC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9"/>
        <w:rPr>
          <w:rFonts w:hint="eastAsia" w:ascii="黑体" w:hAnsi="黑体" w:eastAsia="黑体" w:cs="黑体"/>
          <w:color w:val="auto"/>
          <w:sz w:val="21"/>
          <w:szCs w:val="21"/>
          <w:lang w:val="en-US" w:eastAsia="zh-CN" w:bidi="ar-SA"/>
        </w:rPr>
      </w:pPr>
    </w:p>
    <w:p w14:paraId="091E3CDA">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附录</w:t>
      </w:r>
      <w:bookmarkEnd w:id="16"/>
      <w:r>
        <w:rPr>
          <w:rFonts w:hint="eastAsia" w:hAnsi="黑体" w:cs="黑体"/>
          <w:color w:val="auto"/>
          <w:sz w:val="21"/>
          <w:szCs w:val="21"/>
          <w:lang w:val="en-US" w:eastAsia="zh-CN" w:bidi="ar-SA"/>
        </w:rPr>
        <w:t>C</w:t>
      </w:r>
    </w:p>
    <w:p w14:paraId="7278A34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bookmarkStart w:id="17" w:name="_Toc26597"/>
      <w:bookmarkStart w:id="18" w:name="_Toc14690"/>
      <w:r>
        <w:rPr>
          <w:rFonts w:hint="eastAsia" w:ascii="黑体" w:hAnsi="黑体" w:eastAsia="黑体" w:cs="黑体"/>
          <w:color w:val="auto"/>
          <w:sz w:val="21"/>
          <w:szCs w:val="21"/>
          <w:lang w:val="en-US" w:eastAsia="zh-CN" w:bidi="ar-SA"/>
        </w:rPr>
        <w:t>（资料性）</w:t>
      </w:r>
      <w:bookmarkEnd w:id="17"/>
      <w:bookmarkEnd w:id="18"/>
    </w:p>
    <w:p w14:paraId="7A401C38">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r>
        <w:rPr>
          <w:rFonts w:hint="eastAsia" w:hAnsi="黑体" w:cs="黑体"/>
          <w:color w:val="auto"/>
          <w:sz w:val="21"/>
          <w:szCs w:val="21"/>
          <w:lang w:val="en-US" w:eastAsia="zh-CN" w:bidi="ar-SA"/>
        </w:rPr>
        <w:t>相关</w:t>
      </w:r>
      <w:r>
        <w:rPr>
          <w:rFonts w:hint="eastAsia" w:ascii="黑体" w:hAnsi="黑体" w:eastAsia="黑体" w:cs="黑体"/>
          <w:color w:val="auto"/>
          <w:sz w:val="21"/>
          <w:szCs w:val="21"/>
          <w:lang w:val="en-US" w:eastAsia="zh-CN" w:bidi="ar-SA"/>
        </w:rPr>
        <w:t>参数缺省值</w:t>
      </w:r>
    </w:p>
    <w:p w14:paraId="623486B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5974F311">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bookmarkStart w:id="19" w:name="_Toc13957"/>
      <w:bookmarkStart w:id="20" w:name="_Toc23008"/>
      <w:r>
        <w:rPr>
          <w:rFonts w:hint="eastAsia" w:cs="Times New Roman"/>
          <w:color w:val="auto"/>
          <w:sz w:val="21"/>
          <w:szCs w:val="22"/>
          <w:vertAlign w:val="baseline"/>
          <w:lang w:val="en-US" w:eastAsia="zh-CN" w:bidi="ar-SA"/>
        </w:rPr>
        <w:t>相关参数缺省值</w:t>
      </w:r>
      <w:r>
        <w:rPr>
          <w:rFonts w:hint="eastAsia" w:ascii="宋体" w:hAnsi="Times New Roman" w:eastAsia="宋体" w:cs="Times New Roman"/>
          <w:color w:val="auto"/>
          <w:sz w:val="21"/>
          <w:szCs w:val="22"/>
          <w:vertAlign w:val="baseline"/>
          <w:lang w:val="en-US" w:eastAsia="zh-CN" w:bidi="ar-SA"/>
        </w:rPr>
        <w:t xml:space="preserve">见表 </w:t>
      </w:r>
      <w:r>
        <w:rPr>
          <w:rFonts w:hint="eastAsia" w:cs="Times New Roman"/>
          <w:color w:val="auto"/>
          <w:sz w:val="21"/>
          <w:szCs w:val="22"/>
          <w:vertAlign w:val="baseline"/>
          <w:lang w:val="en-US" w:eastAsia="zh-CN" w:bidi="ar-SA"/>
        </w:rPr>
        <w:t>C</w:t>
      </w:r>
      <w:r>
        <w:rPr>
          <w:rFonts w:hint="eastAsia" w:ascii="宋体" w:hAnsi="Times New Roman" w:eastAsia="宋体" w:cs="Times New Roman"/>
          <w:color w:val="auto"/>
          <w:sz w:val="21"/>
          <w:szCs w:val="22"/>
          <w:vertAlign w:val="baseline"/>
          <w:lang w:val="en-US" w:eastAsia="zh-CN" w:bidi="ar-SA"/>
        </w:rPr>
        <w:t>.1</w:t>
      </w:r>
      <w:r>
        <w:rPr>
          <w:rFonts w:hint="eastAsia" w:cs="Times New Roman"/>
          <w:color w:val="auto"/>
          <w:sz w:val="21"/>
          <w:szCs w:val="22"/>
          <w:vertAlign w:val="baseline"/>
          <w:lang w:val="en-US" w:eastAsia="zh-CN" w:bidi="ar-SA"/>
        </w:rPr>
        <w:t>。</w:t>
      </w:r>
    </w:p>
    <w:p w14:paraId="136CFDD1">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47628825">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b w:val="0"/>
          <w:bCs w:val="0"/>
          <w:color w:val="auto"/>
          <w:sz w:val="21"/>
          <w:szCs w:val="21"/>
          <w:lang w:val="en-US" w:eastAsia="zh-CN" w:bidi="ar-SA"/>
        </w:rPr>
      </w:pPr>
      <w:bookmarkStart w:id="21" w:name="_Toc2131"/>
      <w:r>
        <w:rPr>
          <w:rFonts w:hint="eastAsia"/>
          <w:b w:val="0"/>
          <w:bCs w:val="0"/>
          <w:color w:val="auto"/>
          <w:szCs w:val="21"/>
          <w:lang w:val="en-US" w:eastAsia="zh-CN"/>
        </w:rPr>
        <w:t xml:space="preserve">表C.1  </w:t>
      </w:r>
      <w:bookmarkEnd w:id="19"/>
      <w:bookmarkEnd w:id="20"/>
      <w:bookmarkEnd w:id="21"/>
      <w:r>
        <w:rPr>
          <w:rFonts w:hint="eastAsia"/>
          <w:b w:val="0"/>
          <w:bCs w:val="0"/>
          <w:color w:val="auto"/>
          <w:szCs w:val="21"/>
          <w:lang w:val="en-US" w:eastAsia="zh-CN"/>
        </w:rPr>
        <w:t>常见化石燃料特性参数缺省值</w:t>
      </w:r>
    </w:p>
    <w:p w14:paraId="30361E66">
      <w:pPr>
        <w:pStyle w:val="27"/>
        <w:keepNext w:val="0"/>
        <w:keepLines w:val="0"/>
        <w:pageBreakBefore w:val="0"/>
        <w:widowControl/>
        <w:kinsoku/>
        <w:wordWrap/>
        <w:overflowPunct/>
        <w:topLinePunct w:val="0"/>
        <w:autoSpaceDE w:val="0"/>
        <w:autoSpaceDN w:val="0"/>
        <w:bidi w:val="0"/>
        <w:adjustRightInd/>
        <w:snapToGrid/>
        <w:spacing w:line="283" w:lineRule="exact"/>
        <w:ind w:left="0" w:leftChars="0" w:firstLine="420" w:firstLineChars="200"/>
        <w:textAlignment w:val="auto"/>
        <w:rPr>
          <w:rFonts w:hint="eastAsia" w:ascii="宋体" w:hAnsi="Times New Roman" w:eastAsia="宋体" w:cs="Times New Roman"/>
          <w:color w:val="auto"/>
          <w:vertAlign w:val="baseline"/>
          <w:lang w:val="en-US" w:eastAsia="zh-CN"/>
        </w:rPr>
      </w:pPr>
    </w:p>
    <w:tbl>
      <w:tblPr>
        <w:tblStyle w:val="11"/>
        <w:tblW w:w="4994"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1673"/>
        <w:gridCol w:w="1799"/>
        <w:gridCol w:w="1799"/>
        <w:gridCol w:w="1799"/>
        <w:gridCol w:w="1800"/>
      </w:tblGrid>
      <w:tr w14:paraId="3624409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blHeader/>
          <w:jc w:val="center"/>
        </w:trPr>
        <w:tc>
          <w:tcPr>
            <w:tcW w:w="2362" w:type="dxa"/>
            <w:gridSpan w:val="2"/>
            <w:tcBorders>
              <w:bottom w:val="single" w:color="auto" w:sz="12" w:space="0"/>
              <w:right w:val="single" w:color="000000" w:sz="4" w:space="0"/>
            </w:tcBorders>
            <w:shd w:val="clear" w:color="auto" w:fill="auto"/>
            <w:vAlign w:val="center"/>
          </w:tcPr>
          <w:p w14:paraId="544EFE5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燃料品种</w:t>
            </w:r>
          </w:p>
        </w:tc>
        <w:tc>
          <w:tcPr>
            <w:tcW w:w="1799" w:type="dxa"/>
            <w:tcBorders>
              <w:left w:val="single" w:color="000000" w:sz="4" w:space="0"/>
              <w:bottom w:val="single" w:color="auto" w:sz="12" w:space="0"/>
              <w:right w:val="single" w:color="000000" w:sz="4" w:space="0"/>
            </w:tcBorders>
            <w:shd w:val="clear" w:color="auto" w:fill="auto"/>
            <w:vAlign w:val="center"/>
          </w:tcPr>
          <w:p w14:paraId="23608F3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u w:val="none"/>
                <w:lang w:val="en-US" w:eastAsia="zh-CN"/>
              </w:rPr>
            </w:pPr>
            <w:r>
              <w:rPr>
                <w:rFonts w:hint="eastAsia" w:cs="Times New Roman"/>
                <w:b w:val="0"/>
                <w:bCs w:val="0"/>
                <w:i w:val="0"/>
                <w:iCs w:val="0"/>
                <w:color w:val="auto"/>
                <w:sz w:val="18"/>
                <w:szCs w:val="18"/>
                <w:u w:val="none"/>
                <w:lang w:val="en-US" w:eastAsia="zh-CN"/>
              </w:rPr>
              <w:t>计量单位</w:t>
            </w:r>
          </w:p>
        </w:tc>
        <w:tc>
          <w:tcPr>
            <w:tcW w:w="1799" w:type="dxa"/>
            <w:tcBorders>
              <w:left w:val="single" w:color="000000" w:sz="4" w:space="0"/>
              <w:bottom w:val="single" w:color="auto" w:sz="12" w:space="0"/>
            </w:tcBorders>
            <w:shd w:val="clear" w:color="auto" w:fill="auto"/>
            <w:vAlign w:val="center"/>
          </w:tcPr>
          <w:p w14:paraId="38214AB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低位发热量</w:t>
            </w:r>
          </w:p>
          <w:p w14:paraId="29F6186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GJ</w:t>
            </w:r>
            <w:r>
              <w:rPr>
                <w:rFonts w:hint="default" w:ascii="Times New Roman" w:hAnsi="Times New Roman" w:eastAsia="宋体" w:cs="Times New Roman"/>
                <w:b w:val="0"/>
                <w:bCs w:val="0"/>
                <w:i w:val="0"/>
                <w:iCs w:val="0"/>
                <w:color w:val="auto"/>
                <w:kern w:val="0"/>
                <w:sz w:val="18"/>
                <w:szCs w:val="18"/>
                <w:u w:val="none"/>
                <w:lang w:val="en-US" w:eastAsia="zh-CN" w:bidi="ar"/>
              </w:rPr>
              <w:t>/t 或 GJ/</w:t>
            </w:r>
            <w:r>
              <w:rPr>
                <w:rFonts w:hint="eastAsia" w:cs="Times New Roman"/>
                <w:b w:val="0"/>
                <w:bCs w:val="0"/>
                <w:i w:val="0"/>
                <w:iCs w:val="0"/>
                <w:color w:val="auto"/>
                <w:kern w:val="0"/>
                <w:sz w:val="18"/>
                <w:szCs w:val="18"/>
                <w:u w:val="none"/>
                <w:lang w:val="en-US" w:eastAsia="zh-CN" w:bidi="ar"/>
              </w:rPr>
              <w:t>万</w:t>
            </w:r>
            <w:r>
              <w:rPr>
                <w:rFonts w:hint="default" w:ascii="Times New Roman" w:hAnsi="Times New Roman" w:eastAsia="宋体" w:cs="Times New Roman"/>
                <w:b w:val="0"/>
                <w:bCs w:val="0"/>
                <w:i w:val="0"/>
                <w:iCs w:val="0"/>
                <w:color w:val="auto"/>
                <w:kern w:val="0"/>
                <w:sz w:val="18"/>
                <w:szCs w:val="18"/>
                <w:u w:val="none"/>
                <w:lang w:val="en-US" w:eastAsia="zh-CN" w:bidi="ar"/>
              </w:rPr>
              <w:t>Nm</w:t>
            </w:r>
            <w:r>
              <w:rPr>
                <w:rFonts w:hint="eastAsia" w:cs="Times New Roman"/>
                <w:b w:val="0"/>
                <w:bCs w:val="0"/>
                <w:i w:val="0"/>
                <w:iCs w:val="0"/>
                <w:color w:val="auto"/>
                <w:kern w:val="0"/>
                <w:sz w:val="18"/>
                <w:szCs w:val="18"/>
                <w:u w:val="none"/>
                <w:vertAlign w:val="superscript"/>
                <w:lang w:val="en-US" w:eastAsia="zh-CN" w:bidi="ar"/>
              </w:rPr>
              <w:t>3</w:t>
            </w:r>
          </w:p>
        </w:tc>
        <w:tc>
          <w:tcPr>
            <w:tcW w:w="1799" w:type="dxa"/>
            <w:tcBorders>
              <w:left w:val="single" w:color="000000" w:sz="4" w:space="0"/>
              <w:bottom w:val="single" w:color="auto" w:sz="12" w:space="0"/>
            </w:tcBorders>
            <w:shd w:val="clear" w:color="auto" w:fill="auto"/>
            <w:vAlign w:val="center"/>
          </w:tcPr>
          <w:p w14:paraId="64931DE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单位热值含碳量</w:t>
            </w:r>
          </w:p>
          <w:p w14:paraId="119DDC6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tC/G</w:t>
            </w:r>
            <w:r>
              <w:rPr>
                <w:rFonts w:hint="eastAsia" w:cs="Times New Roman"/>
                <w:b w:val="0"/>
                <w:bCs w:val="0"/>
                <w:i w:val="0"/>
                <w:iCs w:val="0"/>
                <w:color w:val="auto"/>
                <w:kern w:val="0"/>
                <w:sz w:val="18"/>
                <w:szCs w:val="18"/>
                <w:u w:val="none"/>
                <w:lang w:val="en-US" w:eastAsia="zh-CN" w:bidi="ar"/>
              </w:rPr>
              <w:t>J</w:t>
            </w:r>
          </w:p>
        </w:tc>
        <w:tc>
          <w:tcPr>
            <w:tcW w:w="1800" w:type="dxa"/>
            <w:tcBorders>
              <w:left w:val="single" w:color="000000" w:sz="4" w:space="0"/>
              <w:bottom w:val="single" w:color="auto" w:sz="12" w:space="0"/>
            </w:tcBorders>
            <w:shd w:val="clear" w:color="auto" w:fill="auto"/>
            <w:vAlign w:val="center"/>
          </w:tcPr>
          <w:p w14:paraId="450EF35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燃料碳氧化率</w:t>
            </w:r>
          </w:p>
          <w:p w14:paraId="4A86C15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w:t>
            </w:r>
          </w:p>
        </w:tc>
      </w:tr>
      <w:tr w14:paraId="1E4CF76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restart"/>
            <w:tcBorders>
              <w:top w:val="single" w:color="auto" w:sz="12" w:space="0"/>
              <w:right w:val="single" w:color="000000" w:sz="4" w:space="0"/>
              <w:tl2br w:val="nil"/>
              <w:tr2bl w:val="nil"/>
            </w:tcBorders>
            <w:shd w:val="clear" w:color="auto" w:fill="auto"/>
            <w:vAlign w:val="center"/>
          </w:tcPr>
          <w:p w14:paraId="60A414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固体燃料</w:t>
            </w:r>
          </w:p>
        </w:tc>
        <w:tc>
          <w:tcPr>
            <w:tcW w:w="1673" w:type="dxa"/>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2E0059C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无烟煤</w:t>
            </w:r>
          </w:p>
        </w:tc>
        <w:tc>
          <w:tcPr>
            <w:tcW w:w="1799" w:type="dxa"/>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1FC68FB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auto" w:sz="12" w:space="0"/>
              <w:left w:val="single" w:color="000000" w:sz="4" w:space="0"/>
              <w:bottom w:val="single" w:color="000000" w:sz="4" w:space="0"/>
              <w:tl2br w:val="nil"/>
              <w:tr2bl w:val="nil"/>
            </w:tcBorders>
            <w:shd w:val="clear" w:color="auto" w:fill="auto"/>
            <w:vAlign w:val="center"/>
          </w:tcPr>
          <w:p w14:paraId="56954C7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26.7</w:t>
            </w:r>
          </w:p>
        </w:tc>
        <w:tc>
          <w:tcPr>
            <w:tcW w:w="1799" w:type="dxa"/>
            <w:tcBorders>
              <w:top w:val="single" w:color="auto" w:sz="12" w:space="0"/>
              <w:left w:val="single" w:color="000000" w:sz="4" w:space="0"/>
              <w:bottom w:val="single" w:color="000000" w:sz="4" w:space="0"/>
              <w:tl2br w:val="nil"/>
              <w:tr2bl w:val="nil"/>
            </w:tcBorders>
            <w:shd w:val="clear" w:color="auto" w:fill="auto"/>
            <w:vAlign w:val="center"/>
          </w:tcPr>
          <w:p w14:paraId="5868CC3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27.4×10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auto" w:sz="12" w:space="0"/>
              <w:left w:val="single" w:color="000000" w:sz="4" w:space="0"/>
              <w:bottom w:val="single" w:color="000000" w:sz="4" w:space="0"/>
              <w:tl2br w:val="nil"/>
              <w:tr2bl w:val="nil"/>
            </w:tcBorders>
            <w:shd w:val="clear" w:color="auto" w:fill="auto"/>
            <w:vAlign w:val="center"/>
          </w:tcPr>
          <w:p w14:paraId="14E72A5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94</w:t>
            </w:r>
          </w:p>
        </w:tc>
      </w:tr>
      <w:tr w14:paraId="72C05D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604CDD4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17844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烟煤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F272AC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DEF4E8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19.570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E9F2C2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067949E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93</w:t>
            </w:r>
          </w:p>
        </w:tc>
      </w:tr>
      <w:tr w14:paraId="380B588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797B163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63C0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褐煤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240A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49B26C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11.9</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505848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28×10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A51CA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96</w:t>
            </w:r>
          </w:p>
        </w:tc>
      </w:tr>
      <w:tr w14:paraId="390D8DB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4DBD3A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6BD5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洗精煤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E0294D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F43BCA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26.334</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9E71FF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25.41×10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F7FAA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40569B1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045250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70C946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其他洗煤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03094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DDA8F1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12.545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16E1C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25.41×10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2C50D3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1D3A4BE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B7A79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60E3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型煤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18FA27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0A74C4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17.460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ACBD3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5BE002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113D25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BE1936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5885F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其他煤制品</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926E93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15B527D">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17.460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AB44EA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055571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57B9AD9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480A7FE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95BB96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焦炭</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715F4F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F13856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28.435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3392E2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29.5×10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70F3714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93</w:t>
            </w:r>
          </w:p>
        </w:tc>
      </w:tr>
      <w:tr w14:paraId="13AB536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bottom w:val="single" w:color="000000" w:sz="4" w:space="0"/>
              <w:right w:val="single" w:color="000000" w:sz="4" w:space="0"/>
              <w:tl2br w:val="nil"/>
              <w:tr2bl w:val="nil"/>
            </w:tcBorders>
            <w:shd w:val="clear" w:color="auto" w:fill="auto"/>
            <w:vAlign w:val="center"/>
          </w:tcPr>
          <w:p w14:paraId="096495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502FD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石油焦</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FF790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763AF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32.5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9ED605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27.5×10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D63DE7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843366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restart"/>
            <w:tcBorders>
              <w:top w:val="single" w:color="000000" w:sz="4" w:space="0"/>
              <w:right w:val="single" w:color="000000" w:sz="4" w:space="0"/>
              <w:tl2br w:val="nil"/>
              <w:tr2bl w:val="nil"/>
            </w:tcBorders>
            <w:shd w:val="clear" w:color="auto" w:fill="auto"/>
            <w:vAlign w:val="center"/>
          </w:tcPr>
          <w:p w14:paraId="3B16F6A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液体燃料</w:t>
            </w: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5C6D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原油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A8C8EB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647FF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92D2B0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6576EC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06BDD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FD9AF5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40D2D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燃料油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717FB1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43B134">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1E97F4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21.1×10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E0A2DC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5D842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40FDD9B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D3F1E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汽油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CB0CCD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2DE054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43.070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B2D923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18.9×10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F5B349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4D04CE8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009EBE6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52081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柴油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9FEEA8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CFC525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42.652</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F73A37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9C126D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607D2FC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621C79E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5EC0559">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一般煤油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003B4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977DE1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43.070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A24AC6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19.6×10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75C85A9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300165C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D15FDB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EE5A4F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液化天然气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79B136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2AA8C6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51.498</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55D277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15.3×10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5AA922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1411E4B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69826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94711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液化石油气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9BDA2B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7F399E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50.179</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BF6CC0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427D0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2CA9F66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4B2090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69C9A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石脑油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75EBAD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BF3336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44.5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C31286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C9D24B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0118EDB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E9EECB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16ACD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B7294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D08FD9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33.453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98843A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09BE258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28D924F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2454D2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3E7DDC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粗苯</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997A6B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3709BB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D88A30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22.7×10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589AC9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62C757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bottom w:val="single" w:color="000000" w:sz="4" w:space="0"/>
              <w:right w:val="single" w:color="000000" w:sz="4" w:space="0"/>
              <w:tl2br w:val="nil"/>
              <w:tr2bl w:val="nil"/>
            </w:tcBorders>
            <w:shd w:val="clear" w:color="auto" w:fill="auto"/>
            <w:vAlign w:val="center"/>
          </w:tcPr>
          <w:p w14:paraId="6C5E9CE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00C4F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其他石油制品</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8E142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EC01FE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41.031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1B24F2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004FF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52BEDEF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restart"/>
            <w:tcBorders>
              <w:top w:val="single" w:color="000000" w:sz="4" w:space="0"/>
              <w:right w:val="single" w:color="000000" w:sz="4" w:space="0"/>
              <w:tl2br w:val="nil"/>
              <w:tr2bl w:val="nil"/>
            </w:tcBorders>
            <w:shd w:val="clear" w:color="auto" w:fill="auto"/>
            <w:vAlign w:val="center"/>
          </w:tcPr>
          <w:p w14:paraId="3939395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气体燃料</w:t>
            </w: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0149E5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天然气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C791E7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F8D8C2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389.31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CF18E9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15.3×10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40A8C6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3529528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C3212B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204ACF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高炉煤气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42129EF">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578AF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33.00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EC5A6F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70.80×10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439BE62">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4DCA66B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1E4F4DA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3B8E7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转炉煤气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07B66AA">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C35DFB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84.00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C48EE0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49.60×10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77BDB37">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38E794B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7E9785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BE3F3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B9D841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0BD9B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179.81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FA9875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13.58×10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6E5382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7996CE8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172A2C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64F3CEC">
            <w:pPr>
              <w:keepNext w:val="0"/>
              <w:keepLines w:val="0"/>
              <w:widowControl/>
              <w:suppressLineNumbers w:val="0"/>
              <w:jc w:val="center"/>
              <w:textAlignment w:val="center"/>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炼厂干气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F83FCD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53BC7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45.998</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69A954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18.2×10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ADD756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1AEB860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bottom w:val="single" w:color="000000" w:sz="12" w:space="0"/>
              <w:right w:val="single" w:color="000000" w:sz="4" w:space="0"/>
            </w:tcBorders>
            <w:shd w:val="clear" w:color="auto" w:fill="auto"/>
            <w:vAlign w:val="center"/>
          </w:tcPr>
          <w:p w14:paraId="78C843E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4A950E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其他煤气</w:t>
            </w:r>
          </w:p>
        </w:tc>
        <w:tc>
          <w:tcPr>
            <w:tcW w:w="179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AAC982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12" w:space="0"/>
            </w:tcBorders>
            <w:shd w:val="clear" w:color="auto" w:fill="auto"/>
            <w:vAlign w:val="center"/>
          </w:tcPr>
          <w:p w14:paraId="35A073A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52.270</w:t>
            </w:r>
          </w:p>
        </w:tc>
        <w:tc>
          <w:tcPr>
            <w:tcW w:w="1799" w:type="dxa"/>
            <w:tcBorders>
              <w:top w:val="single" w:color="000000" w:sz="4" w:space="0"/>
              <w:left w:val="single" w:color="000000" w:sz="4" w:space="0"/>
              <w:bottom w:val="single" w:color="000000" w:sz="12" w:space="0"/>
            </w:tcBorders>
            <w:shd w:val="clear" w:color="auto" w:fill="auto"/>
            <w:vAlign w:val="center"/>
          </w:tcPr>
          <w:p w14:paraId="4366EE1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12" w:space="0"/>
            </w:tcBorders>
            <w:shd w:val="clear" w:color="auto" w:fill="auto"/>
            <w:vAlign w:val="center"/>
          </w:tcPr>
          <w:p w14:paraId="4229589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bl>
    <w:p w14:paraId="66ADAB74">
      <w:pPr>
        <w:rPr>
          <w:rFonts w:hint="default" w:hAnsi="Cambria Math" w:cs="Times New Roman"/>
          <w:i w:val="0"/>
          <w:color w:val="auto"/>
          <w:sz w:val="21"/>
          <w:szCs w:val="22"/>
          <w:u w:val="none"/>
          <w:lang w:val="en-US" w:eastAsia="zh-CN" w:bidi="ar-SA"/>
        </w:rPr>
      </w:pPr>
    </w:p>
    <w:p w14:paraId="6C8323B3">
      <w:pPr>
        <w:rPr>
          <w:rFonts w:hint="eastAsia" w:hAnsi="Cambria Math" w:cs="Times New Roman"/>
          <w:i w:val="0"/>
          <w:color w:val="auto"/>
          <w:sz w:val="21"/>
          <w:szCs w:val="22"/>
          <w:u w:val="none"/>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4D3F0101">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9"/>
        <w:rPr>
          <w:rFonts w:hint="eastAsia" w:ascii="黑体" w:hAnsi="黑体" w:eastAsia="黑体" w:cs="黑体"/>
          <w:color w:val="auto"/>
          <w:sz w:val="21"/>
          <w:szCs w:val="21"/>
          <w:lang w:val="en-US" w:eastAsia="zh-CN" w:bidi="ar-SA"/>
        </w:rPr>
      </w:pPr>
    </w:p>
    <w:p w14:paraId="6340B2C6">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参考文献</w:t>
      </w:r>
    </w:p>
    <w:p w14:paraId="050DEF2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hAnsi="Cambria Math" w:cs="Times New Roman"/>
          <w:i w:val="0"/>
          <w:color w:val="auto"/>
          <w:sz w:val="21"/>
          <w:szCs w:val="22"/>
          <w:u w:val="none"/>
          <w:lang w:val="en-US" w:eastAsia="zh-CN" w:bidi="ar-SA"/>
        </w:rPr>
      </w:pPr>
    </w:p>
    <w:p w14:paraId="5247BEFE">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hAnsi="Cambria Math" w:cs="Times New Roman"/>
          <w:i w:val="0"/>
          <w:color w:val="auto"/>
          <w:sz w:val="21"/>
          <w:szCs w:val="22"/>
          <w:u w:val="none"/>
          <w:lang w:val="en-US" w:eastAsia="zh-CN" w:bidi="ar-SA"/>
        </w:rPr>
      </w:pPr>
      <w:r>
        <w:rPr>
          <w:color w:val="auto"/>
          <w:sz w:val="21"/>
        </w:rPr>
        <mc:AlternateContent>
          <mc:Choice Requires="wps">
            <w:drawing>
              <wp:anchor distT="0" distB="0" distL="114300" distR="114300" simplePos="0" relativeHeight="251661312" behindDoc="0" locked="0" layoutInCell="1" allowOverlap="1">
                <wp:simplePos x="0" y="0"/>
                <wp:positionH relativeFrom="column">
                  <wp:posOffset>2289810</wp:posOffset>
                </wp:positionH>
                <wp:positionV relativeFrom="paragraph">
                  <wp:posOffset>530860</wp:posOffset>
                </wp:positionV>
                <wp:extent cx="1486535" cy="5715"/>
                <wp:effectExtent l="0" t="7620" r="12065" b="12065"/>
                <wp:wrapTopAndBottom/>
                <wp:docPr id="21" name="直接连接符 21"/>
                <wp:cNvGraphicFramePr/>
                <a:graphic xmlns:a="http://schemas.openxmlformats.org/drawingml/2006/main">
                  <a:graphicData uri="http://schemas.microsoft.com/office/word/2010/wordprocessingShape">
                    <wps:wsp>
                      <wps:cNvCnPr/>
                      <wps:spPr>
                        <a:xfrm>
                          <a:off x="2733040" y="3231515"/>
                          <a:ext cx="1486535" cy="5715"/>
                        </a:xfrm>
                        <a:prstGeom prst="line">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80.3pt;margin-top:41.8pt;height:0.45pt;width:117.05pt;mso-wrap-distance-bottom:0pt;mso-wrap-distance-top:0pt;z-index:251661312;mso-width-relative:page;mso-height-relative:page;" filled="f" stroked="t" coordsize="21600,21600" o:gfxdata="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v&#10;1jDZAAAACQEAAA8AAAAAAAAAAQAgAAAAIgAAAGRycy9kb3ducmV2LnhtbFBLAQIUABQAAAAIAIdO&#10;4kCykBFC6QEAAKwDAAAOAAAAAAAAAAEAIAAAACgBAABkcnMvZTJvRG9jLnhtbFBLBQYAAAAABgAG&#10;AFkBAACDBQAAAAA=&#10;">
                <v:fill on="f" focussize="0,0"/>
                <v:stroke weight="1.25pt" color="#000000 [3213]" joinstyle="round"/>
                <v:imagedata o:title=""/>
                <o:lock v:ext="edit" aspectratio="f"/>
                <w10:wrap type="topAndBottom"/>
              </v:line>
            </w:pict>
          </mc:Fallback>
        </mc:AlternateContent>
      </w:r>
      <w:r>
        <w:rPr>
          <w:rFonts w:hint="eastAsia" w:hAnsi="Cambria Math" w:cs="Times New Roman"/>
          <w:i w:val="0"/>
          <w:color w:val="auto"/>
          <w:sz w:val="21"/>
          <w:szCs w:val="22"/>
          <w:u w:val="none"/>
          <w:lang w:val="en-US" w:eastAsia="zh-CN" w:bidi="ar-SA"/>
        </w:rPr>
        <w:t xml:space="preserve">[1]  </w:t>
      </w:r>
      <w:r>
        <w:rPr>
          <w:rFonts w:hint="default" w:hAnsi="Cambria Math" w:cs="Times New Roman"/>
          <w:i w:val="0"/>
          <w:color w:val="auto"/>
          <w:sz w:val="21"/>
          <w:szCs w:val="22"/>
          <w:u w:val="none"/>
          <w:lang w:val="en-US" w:eastAsia="zh-CN" w:bidi="ar-SA"/>
        </w:rPr>
        <w:t>HG∕T 5869-2021</w:t>
      </w:r>
      <w:r>
        <w:rPr>
          <w:rFonts w:hint="eastAsia" w:hAnsi="Cambria Math" w:cs="Times New Roman"/>
          <w:i w:val="0"/>
          <w:color w:val="auto"/>
          <w:sz w:val="21"/>
          <w:szCs w:val="22"/>
          <w:u w:val="none"/>
          <w:lang w:val="en-US" w:eastAsia="zh-CN" w:bidi="ar-SA"/>
        </w:rPr>
        <w:t xml:space="preserve"> 绿色设计产品评价技术规范 聚苯乙烯树脂</w:t>
      </w:r>
    </w:p>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929F">
    <w:pPr>
      <w:pStyle w:val="5"/>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5B69E">
                          <w:pPr>
                            <w:pStyle w:val="5"/>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955B69E">
                    <w:pPr>
                      <w:pStyle w:val="5"/>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5ACAE">
    <w:pPr>
      <w:pStyle w:val="5"/>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2986F">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3822986F">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C4BF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E77BB">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7CE77B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E1B5C">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7CAC5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E7CAC5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5543">
    <w:pPr>
      <w:pStyle w:val="5"/>
      <w:jc w:val="right"/>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15BF1">
                          <w:pPr>
                            <w:pStyle w:val="5"/>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C115BF1">
                    <w:pPr>
                      <w:pStyle w:val="5"/>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B1F58">
    <w:pPr>
      <w:pStyle w:val="5"/>
      <w:jc w:val="right"/>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C68F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51C68F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1257F">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AC940">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FBAC94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8EED">
    <w:pPr>
      <w:pStyle w:val="5"/>
      <w:jc w:val="right"/>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9153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C19153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AAC3">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44A76">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F144A76">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5040">
    <w:pPr>
      <w:pStyle w:val="5"/>
      <w:jc w:val="right"/>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4403B">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674403B">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BDFC6">
    <w:pPr>
      <w:jc w:val="right"/>
      <w:rPr>
        <w:rFonts w:hint="default" w:ascii="黑体" w:hAnsi="黑体" w:eastAsia="黑体" w:cs="黑体"/>
        <w:lang w:val="en-US" w:eastAsia="zh-CN"/>
      </w:rPr>
    </w:pPr>
    <w:r>
      <w:rPr>
        <w:rFonts w:hint="eastAsia" w:ascii="黑体" w:hAnsi="黑体" w:eastAsia="黑体" w:cs="黑体"/>
        <w:sz w:val="20"/>
      </w:rPr>
      <w:t xml:space="preserve">T/GPCIA  </w:t>
    </w:r>
    <w:r>
      <w:rPr>
        <w:rFonts w:hint="eastAsia" w:ascii="黑体" w:hAnsi="黑体" w:eastAsia="黑体" w:cs="黑体"/>
        <w:sz w:val="20"/>
        <w:lang w:val="en-US" w:eastAsia="zh-CN"/>
      </w:rPr>
      <w:t>XXXX</w:t>
    </w:r>
    <w:r>
      <w:rPr>
        <w:rFonts w:hint="eastAsia" w:ascii="黑体" w:hAnsi="黑体" w:eastAsia="黑体" w:cs="黑体"/>
        <w:sz w:val="20"/>
      </w:rPr>
      <w:t>—</w:t>
    </w:r>
    <w:r>
      <w:rPr>
        <w:rFonts w:hint="eastAsia" w:ascii="黑体" w:hAnsi="黑体" w:eastAsia="黑体" w:cs="黑体"/>
        <w:sz w:val="20"/>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FD0A5">
    <w:pPr>
      <w:pStyle w:val="6"/>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ICS </w:t>
    </w:r>
    <w:r>
      <w:rPr>
        <w:rFonts w:hint="eastAsia" w:ascii="宋体" w:hAnsi="宋体" w:eastAsia="宋体" w:cs="宋体"/>
        <w:b/>
        <w:bCs/>
        <w:color w:val="auto"/>
        <w:sz w:val="21"/>
        <w:szCs w:val="21"/>
        <w:lang w:val="en-US" w:eastAsia="zh-CN"/>
      </w:rPr>
      <w:t>27</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01</w:t>
    </w:r>
    <w:r>
      <w:rPr>
        <w:rFonts w:hint="eastAsia" w:ascii="宋体" w:hAnsi="宋体" w:eastAsia="宋体" w:cs="宋体"/>
        <w:b/>
        <w:bCs/>
        <w:color w:val="auto"/>
        <w:sz w:val="21"/>
        <w:szCs w:val="21"/>
      </w:rPr>
      <w:t>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8EF63">
    <w:pPr>
      <w:jc w:val="right"/>
      <w:rPr>
        <w:rFonts w:hint="default" w:ascii="黑体" w:hAnsi="黑体" w:eastAsia="黑体" w:cs="黑体"/>
        <w:highlight w:val="none"/>
        <w:lang w:val="en-US" w:eastAsia="zh-CN"/>
      </w:rPr>
    </w:pPr>
    <w:r>
      <w:rPr>
        <w:rFonts w:hint="eastAsia" w:ascii="黑体" w:hAnsi="黑体" w:eastAsia="黑体" w:cs="黑体"/>
        <w:sz w:val="20"/>
        <w:highlight w:val="none"/>
      </w:rPr>
      <w:t xml:space="preserve">T/GPCIA  </w:t>
    </w:r>
    <w:r>
      <w:rPr>
        <w:rFonts w:hint="eastAsia" w:ascii="黑体" w:hAnsi="黑体" w:eastAsia="黑体" w:cs="黑体"/>
        <w:sz w:val="20"/>
        <w:highlight w:val="none"/>
        <w:lang w:val="en-US" w:eastAsia="zh-CN"/>
      </w:rPr>
      <w:t>XXXX</w:t>
    </w:r>
    <w:r>
      <w:rPr>
        <w:rFonts w:hint="eastAsia" w:ascii="黑体" w:hAnsi="黑体" w:eastAsia="黑体" w:cs="黑体"/>
        <w:sz w:val="20"/>
        <w:highlight w:val="none"/>
      </w:rPr>
      <w:t>—</w:t>
    </w:r>
    <w:r>
      <w:rPr>
        <w:rFonts w:hint="eastAsia" w:ascii="黑体" w:hAnsi="黑体" w:eastAsia="黑体" w:cs="黑体"/>
        <w:sz w:val="20"/>
        <w:highlight w:val="none"/>
        <w:lang w:val="en-US" w:eastAsia="zh-C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B55A3">
    <w:pPr>
      <w:pStyle w:val="6"/>
      <w:rPr>
        <w:rFonts w:hint="eastAsia" w:ascii="黑体" w:hAnsi="黑体" w:eastAsia="黑体" w:cs="黑体"/>
        <w:sz w:val="20"/>
        <w:highlight w:val="none"/>
        <w:lang w:val="en-US" w:eastAsia="zh-CN"/>
      </w:rPr>
    </w:pPr>
    <w:r>
      <w:rPr>
        <w:rFonts w:hint="eastAsia" w:ascii="黑体" w:hAnsi="黑体" w:eastAsia="黑体" w:cs="黑体"/>
        <w:sz w:val="20"/>
        <w:highlight w:val="none"/>
      </w:rPr>
      <w:t xml:space="preserve">T/GPCIA </w:t>
    </w:r>
    <w:r>
      <w:rPr>
        <w:rFonts w:hint="eastAsia" w:ascii="黑体" w:hAnsi="黑体" w:eastAsia="黑体" w:cs="黑体"/>
        <w:sz w:val="20"/>
        <w:highlight w:val="none"/>
        <w:lang w:val="en-US" w:eastAsia="zh-CN"/>
      </w:rPr>
      <w:t>XXXX</w:t>
    </w:r>
    <w:r>
      <w:rPr>
        <w:rFonts w:hint="eastAsia" w:ascii="黑体" w:hAnsi="黑体" w:eastAsia="黑体" w:cs="黑体"/>
        <w:sz w:val="20"/>
        <w:highlight w:val="none"/>
      </w:rPr>
      <w:t>—</w:t>
    </w:r>
    <w:r>
      <w:rPr>
        <w:rFonts w:hint="eastAsia" w:ascii="黑体" w:hAnsi="黑体" w:eastAsia="黑体" w:cs="黑体"/>
        <w:sz w:val="20"/>
        <w:highlight w:val="none"/>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E081A"/>
    <w:multiLevelType w:val="multilevel"/>
    <w:tmpl w:val="115E081A"/>
    <w:lvl w:ilvl="0" w:tentative="0">
      <w:start w:val="1"/>
      <w:numFmt w:val="decimal"/>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pStyle w:val="77"/>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
    <w:nsid w:val="1FC91163"/>
    <w:multiLevelType w:val="multilevel"/>
    <w:tmpl w:val="1FC91163"/>
    <w:lvl w:ilvl="0" w:tentative="0">
      <w:start w:val="1"/>
      <w:numFmt w:val="decimal"/>
      <w:pStyle w:val="39"/>
      <w:suff w:val="nothing"/>
      <w:lvlText w:val="%1　"/>
      <w:lvlJc w:val="left"/>
      <w:rPr>
        <w:rFonts w:hint="eastAsia" w:ascii="黑体" w:hAnsi="Times New Roman" w:eastAsia="黑体" w:cs="Times New Roman"/>
        <w:b w:val="0"/>
        <w:i w:val="0"/>
        <w:sz w:val="21"/>
        <w:szCs w:val="21"/>
      </w:rPr>
    </w:lvl>
    <w:lvl w:ilvl="1" w:tentative="0">
      <w:start w:val="1"/>
      <w:numFmt w:val="decimal"/>
      <w:pStyle w:val="3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0"/>
      <w:suff w:val="nothing"/>
      <w:lvlText w:val="%1.%2.%3　"/>
      <w:lvlJc w:val="left"/>
      <w:rPr>
        <w:rFonts w:hint="eastAsia" w:ascii="黑体" w:hAnsi="Times New Roman" w:eastAsia="黑体" w:cs="Times New Roman"/>
        <w:b w:val="0"/>
        <w:i w:val="0"/>
        <w:sz w:val="21"/>
      </w:rPr>
    </w:lvl>
    <w:lvl w:ilvl="3" w:tentative="0">
      <w:start w:val="1"/>
      <w:numFmt w:val="decimal"/>
      <w:pStyle w:val="41"/>
      <w:suff w:val="nothing"/>
      <w:lvlText w:val="%1.%2.%3.%4　"/>
      <w:lvlJc w:val="left"/>
      <w:rPr>
        <w:rFonts w:hint="eastAsia" w:ascii="黑体" w:hAnsi="Times New Roman" w:eastAsia="黑体" w:cs="Times New Roman"/>
        <w:b w:val="0"/>
        <w:i w:val="0"/>
        <w:sz w:val="21"/>
      </w:rPr>
    </w:lvl>
    <w:lvl w:ilvl="4" w:tentative="0">
      <w:start w:val="1"/>
      <w:numFmt w:val="decimal"/>
      <w:pStyle w:val="42"/>
      <w:suff w:val="nothing"/>
      <w:lvlText w:val="%1.%2.%3.%4.%5　"/>
      <w:lvlJc w:val="left"/>
      <w:rPr>
        <w:rFonts w:hint="eastAsia" w:ascii="黑体" w:hAnsi="Times New Roman" w:eastAsia="黑体" w:cs="Times New Roman"/>
        <w:b w:val="0"/>
        <w:i w:val="0"/>
        <w:sz w:val="21"/>
      </w:rPr>
    </w:lvl>
    <w:lvl w:ilvl="5" w:tentative="0">
      <w:start w:val="1"/>
      <w:numFmt w:val="decimal"/>
      <w:pStyle w:val="43"/>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abstractNum w:abstractNumId="2">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2"/>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18B62A3"/>
    <w:multiLevelType w:val="multilevel"/>
    <w:tmpl w:val="618B62A3"/>
    <w:lvl w:ilvl="0" w:tentative="0">
      <w:start w:val="1"/>
      <w:numFmt w:val="decimal"/>
      <w:pStyle w:val="6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DkwZTNiNzhjNThkOTg1ZTE5ODZkNmNhMTU1MjcifQ=="/>
  </w:docVars>
  <w:rsids>
    <w:rsidRoot w:val="003857F1"/>
    <w:rsid w:val="000006F3"/>
    <w:rsid w:val="0000107B"/>
    <w:rsid w:val="00004CCE"/>
    <w:rsid w:val="0001216B"/>
    <w:rsid w:val="00015831"/>
    <w:rsid w:val="00044406"/>
    <w:rsid w:val="00047EE2"/>
    <w:rsid w:val="00052FF0"/>
    <w:rsid w:val="00053B67"/>
    <w:rsid w:val="0005517D"/>
    <w:rsid w:val="00055966"/>
    <w:rsid w:val="000620F8"/>
    <w:rsid w:val="000700D9"/>
    <w:rsid w:val="000705E8"/>
    <w:rsid w:val="00072BE0"/>
    <w:rsid w:val="00081C30"/>
    <w:rsid w:val="00083F8C"/>
    <w:rsid w:val="0008727C"/>
    <w:rsid w:val="000904C0"/>
    <w:rsid w:val="00090631"/>
    <w:rsid w:val="0009108D"/>
    <w:rsid w:val="00092728"/>
    <w:rsid w:val="000938F5"/>
    <w:rsid w:val="000940D1"/>
    <w:rsid w:val="00095155"/>
    <w:rsid w:val="000A284C"/>
    <w:rsid w:val="000A6F81"/>
    <w:rsid w:val="000A7760"/>
    <w:rsid w:val="000B1383"/>
    <w:rsid w:val="000B2AB4"/>
    <w:rsid w:val="000C0810"/>
    <w:rsid w:val="000C31F1"/>
    <w:rsid w:val="000C47BD"/>
    <w:rsid w:val="000C648E"/>
    <w:rsid w:val="000E026A"/>
    <w:rsid w:val="000E34C4"/>
    <w:rsid w:val="000E509D"/>
    <w:rsid w:val="000F2BD5"/>
    <w:rsid w:val="000F6E07"/>
    <w:rsid w:val="001026DD"/>
    <w:rsid w:val="00111137"/>
    <w:rsid w:val="00115982"/>
    <w:rsid w:val="00115BF6"/>
    <w:rsid w:val="0011644F"/>
    <w:rsid w:val="00117732"/>
    <w:rsid w:val="001229F3"/>
    <w:rsid w:val="0012316B"/>
    <w:rsid w:val="001336C1"/>
    <w:rsid w:val="001340BA"/>
    <w:rsid w:val="0013502A"/>
    <w:rsid w:val="001358DD"/>
    <w:rsid w:val="00136E33"/>
    <w:rsid w:val="00137BAC"/>
    <w:rsid w:val="00143958"/>
    <w:rsid w:val="00144D3B"/>
    <w:rsid w:val="0014661B"/>
    <w:rsid w:val="00150574"/>
    <w:rsid w:val="00153F05"/>
    <w:rsid w:val="00154415"/>
    <w:rsid w:val="00154F35"/>
    <w:rsid w:val="00157AA2"/>
    <w:rsid w:val="001652AF"/>
    <w:rsid w:val="0016629B"/>
    <w:rsid w:val="001715C3"/>
    <w:rsid w:val="0017366A"/>
    <w:rsid w:val="001738A8"/>
    <w:rsid w:val="00175901"/>
    <w:rsid w:val="00181399"/>
    <w:rsid w:val="0018176C"/>
    <w:rsid w:val="00181A70"/>
    <w:rsid w:val="001A1D98"/>
    <w:rsid w:val="001A3235"/>
    <w:rsid w:val="001A7BCB"/>
    <w:rsid w:val="001B0072"/>
    <w:rsid w:val="001B3CA5"/>
    <w:rsid w:val="001B47FE"/>
    <w:rsid w:val="001C0FED"/>
    <w:rsid w:val="001D23DB"/>
    <w:rsid w:val="001D2986"/>
    <w:rsid w:val="001D4206"/>
    <w:rsid w:val="001D7CD2"/>
    <w:rsid w:val="001E34CF"/>
    <w:rsid w:val="001E637E"/>
    <w:rsid w:val="001F4B7C"/>
    <w:rsid w:val="001F53B2"/>
    <w:rsid w:val="001F5D56"/>
    <w:rsid w:val="001F66CD"/>
    <w:rsid w:val="00206964"/>
    <w:rsid w:val="0021043C"/>
    <w:rsid w:val="00213E0D"/>
    <w:rsid w:val="0022181C"/>
    <w:rsid w:val="00222AA1"/>
    <w:rsid w:val="00226BB0"/>
    <w:rsid w:val="002324D4"/>
    <w:rsid w:val="00234D23"/>
    <w:rsid w:val="00237329"/>
    <w:rsid w:val="00240CED"/>
    <w:rsid w:val="00246354"/>
    <w:rsid w:val="00247460"/>
    <w:rsid w:val="00247C7C"/>
    <w:rsid w:val="00252E82"/>
    <w:rsid w:val="0025380F"/>
    <w:rsid w:val="002632F3"/>
    <w:rsid w:val="00266CFE"/>
    <w:rsid w:val="00271B69"/>
    <w:rsid w:val="00272833"/>
    <w:rsid w:val="00274096"/>
    <w:rsid w:val="00274C7C"/>
    <w:rsid w:val="002903DD"/>
    <w:rsid w:val="002A0DA2"/>
    <w:rsid w:val="002A31B0"/>
    <w:rsid w:val="002A32B6"/>
    <w:rsid w:val="002A7217"/>
    <w:rsid w:val="002C05B6"/>
    <w:rsid w:val="002C1BC1"/>
    <w:rsid w:val="002C48F7"/>
    <w:rsid w:val="002C4FDB"/>
    <w:rsid w:val="002C55D3"/>
    <w:rsid w:val="002C5A27"/>
    <w:rsid w:val="002C61F7"/>
    <w:rsid w:val="002D21A9"/>
    <w:rsid w:val="002D5793"/>
    <w:rsid w:val="002D7D0A"/>
    <w:rsid w:val="002E4E1C"/>
    <w:rsid w:val="002E6171"/>
    <w:rsid w:val="002E6701"/>
    <w:rsid w:val="002E7649"/>
    <w:rsid w:val="002E7931"/>
    <w:rsid w:val="002F1D71"/>
    <w:rsid w:val="002F7757"/>
    <w:rsid w:val="0030305E"/>
    <w:rsid w:val="003076AD"/>
    <w:rsid w:val="00310306"/>
    <w:rsid w:val="003111E4"/>
    <w:rsid w:val="003116F7"/>
    <w:rsid w:val="00315DC8"/>
    <w:rsid w:val="00326D55"/>
    <w:rsid w:val="00327C58"/>
    <w:rsid w:val="003309EF"/>
    <w:rsid w:val="003368BA"/>
    <w:rsid w:val="003460FF"/>
    <w:rsid w:val="003572D0"/>
    <w:rsid w:val="00357BE6"/>
    <w:rsid w:val="0036045D"/>
    <w:rsid w:val="00361912"/>
    <w:rsid w:val="00363821"/>
    <w:rsid w:val="00367EED"/>
    <w:rsid w:val="0037164A"/>
    <w:rsid w:val="00373563"/>
    <w:rsid w:val="003857F1"/>
    <w:rsid w:val="00387B85"/>
    <w:rsid w:val="00392420"/>
    <w:rsid w:val="003A0048"/>
    <w:rsid w:val="003A787F"/>
    <w:rsid w:val="003C3558"/>
    <w:rsid w:val="003C3BFA"/>
    <w:rsid w:val="003C4699"/>
    <w:rsid w:val="003D3D95"/>
    <w:rsid w:val="003E3322"/>
    <w:rsid w:val="003E3E8D"/>
    <w:rsid w:val="003E4A57"/>
    <w:rsid w:val="003E7AB2"/>
    <w:rsid w:val="003F66DC"/>
    <w:rsid w:val="004005C3"/>
    <w:rsid w:val="00401A46"/>
    <w:rsid w:val="00403FD4"/>
    <w:rsid w:val="00404D66"/>
    <w:rsid w:val="004118B8"/>
    <w:rsid w:val="004153B6"/>
    <w:rsid w:val="004153BA"/>
    <w:rsid w:val="00425837"/>
    <w:rsid w:val="00427910"/>
    <w:rsid w:val="00431DF1"/>
    <w:rsid w:val="00440286"/>
    <w:rsid w:val="00445B6F"/>
    <w:rsid w:val="004518C7"/>
    <w:rsid w:val="00463037"/>
    <w:rsid w:val="004647B6"/>
    <w:rsid w:val="00464E0C"/>
    <w:rsid w:val="00467531"/>
    <w:rsid w:val="00475454"/>
    <w:rsid w:val="0047593B"/>
    <w:rsid w:val="00476534"/>
    <w:rsid w:val="00476B00"/>
    <w:rsid w:val="00481E63"/>
    <w:rsid w:val="004821BA"/>
    <w:rsid w:val="0048414B"/>
    <w:rsid w:val="00485524"/>
    <w:rsid w:val="00493914"/>
    <w:rsid w:val="00493EDC"/>
    <w:rsid w:val="00494090"/>
    <w:rsid w:val="004B1A2D"/>
    <w:rsid w:val="004B3F13"/>
    <w:rsid w:val="004B5416"/>
    <w:rsid w:val="004C1145"/>
    <w:rsid w:val="004C331D"/>
    <w:rsid w:val="004C7960"/>
    <w:rsid w:val="004E00C0"/>
    <w:rsid w:val="004E3469"/>
    <w:rsid w:val="004E6786"/>
    <w:rsid w:val="004F3C96"/>
    <w:rsid w:val="004F4638"/>
    <w:rsid w:val="004F4744"/>
    <w:rsid w:val="004F75D3"/>
    <w:rsid w:val="00503A0E"/>
    <w:rsid w:val="00511401"/>
    <w:rsid w:val="00515364"/>
    <w:rsid w:val="005162F4"/>
    <w:rsid w:val="005163FD"/>
    <w:rsid w:val="00525281"/>
    <w:rsid w:val="00526026"/>
    <w:rsid w:val="005319B3"/>
    <w:rsid w:val="00531A7C"/>
    <w:rsid w:val="00536418"/>
    <w:rsid w:val="00544D2B"/>
    <w:rsid w:val="005558AC"/>
    <w:rsid w:val="005574FC"/>
    <w:rsid w:val="00562704"/>
    <w:rsid w:val="005655A4"/>
    <w:rsid w:val="00566247"/>
    <w:rsid w:val="005759D7"/>
    <w:rsid w:val="00591C14"/>
    <w:rsid w:val="005A0FFC"/>
    <w:rsid w:val="005A1E5D"/>
    <w:rsid w:val="005A7953"/>
    <w:rsid w:val="005C2263"/>
    <w:rsid w:val="005C497A"/>
    <w:rsid w:val="005D1956"/>
    <w:rsid w:val="005D7B58"/>
    <w:rsid w:val="005E6CF9"/>
    <w:rsid w:val="005F0CFD"/>
    <w:rsid w:val="005F3C76"/>
    <w:rsid w:val="006055DE"/>
    <w:rsid w:val="006064FF"/>
    <w:rsid w:val="0061269B"/>
    <w:rsid w:val="00613241"/>
    <w:rsid w:val="00614035"/>
    <w:rsid w:val="00615D03"/>
    <w:rsid w:val="00626E5B"/>
    <w:rsid w:val="0062705C"/>
    <w:rsid w:val="006348B8"/>
    <w:rsid w:val="00645835"/>
    <w:rsid w:val="00646036"/>
    <w:rsid w:val="00647425"/>
    <w:rsid w:val="006503F6"/>
    <w:rsid w:val="00650864"/>
    <w:rsid w:val="006529C4"/>
    <w:rsid w:val="00656C88"/>
    <w:rsid w:val="00657457"/>
    <w:rsid w:val="006611E4"/>
    <w:rsid w:val="0066160B"/>
    <w:rsid w:val="00661688"/>
    <w:rsid w:val="00663AD4"/>
    <w:rsid w:val="00665F4B"/>
    <w:rsid w:val="00672611"/>
    <w:rsid w:val="006736C4"/>
    <w:rsid w:val="00675C0D"/>
    <w:rsid w:val="006837F5"/>
    <w:rsid w:val="00687A07"/>
    <w:rsid w:val="0069008B"/>
    <w:rsid w:val="00690AFB"/>
    <w:rsid w:val="00690BED"/>
    <w:rsid w:val="00691C7C"/>
    <w:rsid w:val="006966E8"/>
    <w:rsid w:val="00697D90"/>
    <w:rsid w:val="006A1EB6"/>
    <w:rsid w:val="006A26FF"/>
    <w:rsid w:val="006A5157"/>
    <w:rsid w:val="006A6689"/>
    <w:rsid w:val="006B4424"/>
    <w:rsid w:val="006B7158"/>
    <w:rsid w:val="006B7AC6"/>
    <w:rsid w:val="006C0EF7"/>
    <w:rsid w:val="006C1ED2"/>
    <w:rsid w:val="006C6797"/>
    <w:rsid w:val="006C7FA8"/>
    <w:rsid w:val="006D2949"/>
    <w:rsid w:val="006D2996"/>
    <w:rsid w:val="006D3C1E"/>
    <w:rsid w:val="006D4AD8"/>
    <w:rsid w:val="006D5EA0"/>
    <w:rsid w:val="006D755C"/>
    <w:rsid w:val="006E6810"/>
    <w:rsid w:val="006E7036"/>
    <w:rsid w:val="006F2A8D"/>
    <w:rsid w:val="006F58AB"/>
    <w:rsid w:val="006F6EA8"/>
    <w:rsid w:val="007012E1"/>
    <w:rsid w:val="00703889"/>
    <w:rsid w:val="00707774"/>
    <w:rsid w:val="00712A5B"/>
    <w:rsid w:val="00712C03"/>
    <w:rsid w:val="00717BF9"/>
    <w:rsid w:val="00717FE1"/>
    <w:rsid w:val="007209B2"/>
    <w:rsid w:val="007343A5"/>
    <w:rsid w:val="00734D1C"/>
    <w:rsid w:val="0073604F"/>
    <w:rsid w:val="007469CC"/>
    <w:rsid w:val="00754532"/>
    <w:rsid w:val="00755DD9"/>
    <w:rsid w:val="00762FA8"/>
    <w:rsid w:val="00763F53"/>
    <w:rsid w:val="00767EEA"/>
    <w:rsid w:val="007718FE"/>
    <w:rsid w:val="0078079D"/>
    <w:rsid w:val="00783046"/>
    <w:rsid w:val="00783096"/>
    <w:rsid w:val="007844A1"/>
    <w:rsid w:val="00787E40"/>
    <w:rsid w:val="00793E57"/>
    <w:rsid w:val="007A1B07"/>
    <w:rsid w:val="007B427C"/>
    <w:rsid w:val="007C53D8"/>
    <w:rsid w:val="007C6638"/>
    <w:rsid w:val="007C7527"/>
    <w:rsid w:val="007D2616"/>
    <w:rsid w:val="007D7AAA"/>
    <w:rsid w:val="007D7B6C"/>
    <w:rsid w:val="007E5ABF"/>
    <w:rsid w:val="007E7A1F"/>
    <w:rsid w:val="007F123D"/>
    <w:rsid w:val="007F1D94"/>
    <w:rsid w:val="007F3D66"/>
    <w:rsid w:val="007F4434"/>
    <w:rsid w:val="007F7E69"/>
    <w:rsid w:val="008016B6"/>
    <w:rsid w:val="00803BED"/>
    <w:rsid w:val="008062DF"/>
    <w:rsid w:val="008076EE"/>
    <w:rsid w:val="00810BDA"/>
    <w:rsid w:val="0081306A"/>
    <w:rsid w:val="00822F03"/>
    <w:rsid w:val="00825FB4"/>
    <w:rsid w:val="008336B3"/>
    <w:rsid w:val="00833D08"/>
    <w:rsid w:val="00836942"/>
    <w:rsid w:val="00842147"/>
    <w:rsid w:val="00845AF3"/>
    <w:rsid w:val="00852491"/>
    <w:rsid w:val="00860A60"/>
    <w:rsid w:val="008618CB"/>
    <w:rsid w:val="00861967"/>
    <w:rsid w:val="00863B76"/>
    <w:rsid w:val="008711E2"/>
    <w:rsid w:val="00873D43"/>
    <w:rsid w:val="00881B54"/>
    <w:rsid w:val="00886F45"/>
    <w:rsid w:val="008929DA"/>
    <w:rsid w:val="00894C95"/>
    <w:rsid w:val="00896D3B"/>
    <w:rsid w:val="008A216F"/>
    <w:rsid w:val="008A50D5"/>
    <w:rsid w:val="008A5936"/>
    <w:rsid w:val="008B2816"/>
    <w:rsid w:val="008B3E35"/>
    <w:rsid w:val="008B72F9"/>
    <w:rsid w:val="008C3F15"/>
    <w:rsid w:val="008C3FC5"/>
    <w:rsid w:val="008C5968"/>
    <w:rsid w:val="008C6AFE"/>
    <w:rsid w:val="008D335A"/>
    <w:rsid w:val="008D6A83"/>
    <w:rsid w:val="008E2729"/>
    <w:rsid w:val="008E32B7"/>
    <w:rsid w:val="008E6D2C"/>
    <w:rsid w:val="008F030E"/>
    <w:rsid w:val="008F2C10"/>
    <w:rsid w:val="008F488B"/>
    <w:rsid w:val="0090041A"/>
    <w:rsid w:val="00900C3B"/>
    <w:rsid w:val="00901650"/>
    <w:rsid w:val="0090322E"/>
    <w:rsid w:val="00904F9A"/>
    <w:rsid w:val="009118A8"/>
    <w:rsid w:val="00915CC3"/>
    <w:rsid w:val="00926968"/>
    <w:rsid w:val="009324DE"/>
    <w:rsid w:val="0093723C"/>
    <w:rsid w:val="0094165F"/>
    <w:rsid w:val="0094638F"/>
    <w:rsid w:val="00951AED"/>
    <w:rsid w:val="00952C9E"/>
    <w:rsid w:val="00953933"/>
    <w:rsid w:val="00954322"/>
    <w:rsid w:val="00954EE4"/>
    <w:rsid w:val="009643B9"/>
    <w:rsid w:val="009649C6"/>
    <w:rsid w:val="009709C3"/>
    <w:rsid w:val="00971724"/>
    <w:rsid w:val="00973775"/>
    <w:rsid w:val="009851AC"/>
    <w:rsid w:val="00985A6F"/>
    <w:rsid w:val="00997CF4"/>
    <w:rsid w:val="009A6DD0"/>
    <w:rsid w:val="009B3A0A"/>
    <w:rsid w:val="009B3EB6"/>
    <w:rsid w:val="009B53A0"/>
    <w:rsid w:val="009C2163"/>
    <w:rsid w:val="009C230B"/>
    <w:rsid w:val="009C395C"/>
    <w:rsid w:val="009C4490"/>
    <w:rsid w:val="009C49D8"/>
    <w:rsid w:val="009C54F2"/>
    <w:rsid w:val="009D1F1A"/>
    <w:rsid w:val="009D35F5"/>
    <w:rsid w:val="009E1B18"/>
    <w:rsid w:val="009E35FD"/>
    <w:rsid w:val="009E3DAC"/>
    <w:rsid w:val="009E58B4"/>
    <w:rsid w:val="009E67A0"/>
    <w:rsid w:val="009F159C"/>
    <w:rsid w:val="009F1C3C"/>
    <w:rsid w:val="009F3340"/>
    <w:rsid w:val="009F52FD"/>
    <w:rsid w:val="00A06540"/>
    <w:rsid w:val="00A0732B"/>
    <w:rsid w:val="00A10870"/>
    <w:rsid w:val="00A16BF5"/>
    <w:rsid w:val="00A17636"/>
    <w:rsid w:val="00A21133"/>
    <w:rsid w:val="00A314DC"/>
    <w:rsid w:val="00A34398"/>
    <w:rsid w:val="00A3485F"/>
    <w:rsid w:val="00A35104"/>
    <w:rsid w:val="00A35CCD"/>
    <w:rsid w:val="00A36EED"/>
    <w:rsid w:val="00A41907"/>
    <w:rsid w:val="00A41AAF"/>
    <w:rsid w:val="00A4416F"/>
    <w:rsid w:val="00A446C5"/>
    <w:rsid w:val="00A447D9"/>
    <w:rsid w:val="00A60C05"/>
    <w:rsid w:val="00A630CE"/>
    <w:rsid w:val="00A66A4E"/>
    <w:rsid w:val="00A72118"/>
    <w:rsid w:val="00A738AC"/>
    <w:rsid w:val="00A74E1C"/>
    <w:rsid w:val="00A81A6F"/>
    <w:rsid w:val="00A81F9D"/>
    <w:rsid w:val="00A913C9"/>
    <w:rsid w:val="00A93929"/>
    <w:rsid w:val="00A96FB4"/>
    <w:rsid w:val="00A9773B"/>
    <w:rsid w:val="00AA266F"/>
    <w:rsid w:val="00AA2807"/>
    <w:rsid w:val="00AA4905"/>
    <w:rsid w:val="00AB2EE2"/>
    <w:rsid w:val="00AB4F59"/>
    <w:rsid w:val="00AC2118"/>
    <w:rsid w:val="00AC33AD"/>
    <w:rsid w:val="00AC4429"/>
    <w:rsid w:val="00AC4FB2"/>
    <w:rsid w:val="00AD1398"/>
    <w:rsid w:val="00AD31AB"/>
    <w:rsid w:val="00AD391D"/>
    <w:rsid w:val="00AD3ED4"/>
    <w:rsid w:val="00AD69ED"/>
    <w:rsid w:val="00AD7DD6"/>
    <w:rsid w:val="00AE23D9"/>
    <w:rsid w:val="00AE3B65"/>
    <w:rsid w:val="00AE578E"/>
    <w:rsid w:val="00AF282F"/>
    <w:rsid w:val="00AF5F26"/>
    <w:rsid w:val="00B001F0"/>
    <w:rsid w:val="00B07DFC"/>
    <w:rsid w:val="00B105C9"/>
    <w:rsid w:val="00B15B09"/>
    <w:rsid w:val="00B22E37"/>
    <w:rsid w:val="00B263EE"/>
    <w:rsid w:val="00B26F47"/>
    <w:rsid w:val="00B3143A"/>
    <w:rsid w:val="00B42CEF"/>
    <w:rsid w:val="00B46E9D"/>
    <w:rsid w:val="00B4715D"/>
    <w:rsid w:val="00B47415"/>
    <w:rsid w:val="00B50A9B"/>
    <w:rsid w:val="00B51828"/>
    <w:rsid w:val="00B55866"/>
    <w:rsid w:val="00B5756E"/>
    <w:rsid w:val="00B70057"/>
    <w:rsid w:val="00B703F0"/>
    <w:rsid w:val="00B71B4C"/>
    <w:rsid w:val="00B728AB"/>
    <w:rsid w:val="00B74D6F"/>
    <w:rsid w:val="00B7669E"/>
    <w:rsid w:val="00B83D9D"/>
    <w:rsid w:val="00B86081"/>
    <w:rsid w:val="00B87A6B"/>
    <w:rsid w:val="00B87A76"/>
    <w:rsid w:val="00B93ED2"/>
    <w:rsid w:val="00B95245"/>
    <w:rsid w:val="00B97271"/>
    <w:rsid w:val="00BA0E0B"/>
    <w:rsid w:val="00BA6055"/>
    <w:rsid w:val="00BB2E13"/>
    <w:rsid w:val="00BB55E0"/>
    <w:rsid w:val="00BB673E"/>
    <w:rsid w:val="00BB750C"/>
    <w:rsid w:val="00BC0A79"/>
    <w:rsid w:val="00BC78E2"/>
    <w:rsid w:val="00BD05D3"/>
    <w:rsid w:val="00BD1E04"/>
    <w:rsid w:val="00BD61F7"/>
    <w:rsid w:val="00BE1545"/>
    <w:rsid w:val="00BE644A"/>
    <w:rsid w:val="00BF0BED"/>
    <w:rsid w:val="00BF288E"/>
    <w:rsid w:val="00BF45C4"/>
    <w:rsid w:val="00BF4A8E"/>
    <w:rsid w:val="00BF6908"/>
    <w:rsid w:val="00C005BF"/>
    <w:rsid w:val="00C03FD6"/>
    <w:rsid w:val="00C13CBB"/>
    <w:rsid w:val="00C14745"/>
    <w:rsid w:val="00C15DCD"/>
    <w:rsid w:val="00C15ED1"/>
    <w:rsid w:val="00C178E2"/>
    <w:rsid w:val="00C17BB1"/>
    <w:rsid w:val="00C23253"/>
    <w:rsid w:val="00C24B2F"/>
    <w:rsid w:val="00C255F8"/>
    <w:rsid w:val="00C2636E"/>
    <w:rsid w:val="00C33276"/>
    <w:rsid w:val="00C3365F"/>
    <w:rsid w:val="00C442DF"/>
    <w:rsid w:val="00C52A26"/>
    <w:rsid w:val="00C542E6"/>
    <w:rsid w:val="00C55050"/>
    <w:rsid w:val="00C618B0"/>
    <w:rsid w:val="00C70118"/>
    <w:rsid w:val="00C7365F"/>
    <w:rsid w:val="00C76099"/>
    <w:rsid w:val="00C80823"/>
    <w:rsid w:val="00C80B7B"/>
    <w:rsid w:val="00C812DD"/>
    <w:rsid w:val="00C92A2E"/>
    <w:rsid w:val="00CA2F40"/>
    <w:rsid w:val="00CA53BE"/>
    <w:rsid w:val="00CA5B93"/>
    <w:rsid w:val="00CA5CE9"/>
    <w:rsid w:val="00CB122A"/>
    <w:rsid w:val="00CB1C60"/>
    <w:rsid w:val="00CB1EB4"/>
    <w:rsid w:val="00CB26A2"/>
    <w:rsid w:val="00CB5AA5"/>
    <w:rsid w:val="00CC0A48"/>
    <w:rsid w:val="00CC4E65"/>
    <w:rsid w:val="00CC54D7"/>
    <w:rsid w:val="00CD1045"/>
    <w:rsid w:val="00CD35D9"/>
    <w:rsid w:val="00CD499F"/>
    <w:rsid w:val="00CD5685"/>
    <w:rsid w:val="00CD6518"/>
    <w:rsid w:val="00CD77B9"/>
    <w:rsid w:val="00CE1934"/>
    <w:rsid w:val="00CE2233"/>
    <w:rsid w:val="00CE35C0"/>
    <w:rsid w:val="00CE5496"/>
    <w:rsid w:val="00CE5D0C"/>
    <w:rsid w:val="00CF1099"/>
    <w:rsid w:val="00CF417C"/>
    <w:rsid w:val="00CF6D3A"/>
    <w:rsid w:val="00D013A9"/>
    <w:rsid w:val="00D07F06"/>
    <w:rsid w:val="00D10104"/>
    <w:rsid w:val="00D119E2"/>
    <w:rsid w:val="00D12A70"/>
    <w:rsid w:val="00D15392"/>
    <w:rsid w:val="00D16451"/>
    <w:rsid w:val="00D17BBA"/>
    <w:rsid w:val="00D20594"/>
    <w:rsid w:val="00D24877"/>
    <w:rsid w:val="00D24FA7"/>
    <w:rsid w:val="00D25156"/>
    <w:rsid w:val="00D26CE2"/>
    <w:rsid w:val="00D3250A"/>
    <w:rsid w:val="00D32927"/>
    <w:rsid w:val="00D32C22"/>
    <w:rsid w:val="00D37C1A"/>
    <w:rsid w:val="00D40D69"/>
    <w:rsid w:val="00D42BFA"/>
    <w:rsid w:val="00D56030"/>
    <w:rsid w:val="00D60B41"/>
    <w:rsid w:val="00D70BBF"/>
    <w:rsid w:val="00D70F84"/>
    <w:rsid w:val="00D71A54"/>
    <w:rsid w:val="00D72B99"/>
    <w:rsid w:val="00D81F4A"/>
    <w:rsid w:val="00D8202C"/>
    <w:rsid w:val="00D82BEB"/>
    <w:rsid w:val="00D8448E"/>
    <w:rsid w:val="00D86059"/>
    <w:rsid w:val="00D92058"/>
    <w:rsid w:val="00DA0D95"/>
    <w:rsid w:val="00DA3EA5"/>
    <w:rsid w:val="00DA5AEF"/>
    <w:rsid w:val="00DB404A"/>
    <w:rsid w:val="00DB7171"/>
    <w:rsid w:val="00DB7F23"/>
    <w:rsid w:val="00DC188A"/>
    <w:rsid w:val="00DC2F50"/>
    <w:rsid w:val="00DD11A4"/>
    <w:rsid w:val="00DD26BF"/>
    <w:rsid w:val="00DD59DC"/>
    <w:rsid w:val="00DD600F"/>
    <w:rsid w:val="00DD7DD0"/>
    <w:rsid w:val="00DE6077"/>
    <w:rsid w:val="00DE646A"/>
    <w:rsid w:val="00DE7612"/>
    <w:rsid w:val="00DF5E09"/>
    <w:rsid w:val="00DF636E"/>
    <w:rsid w:val="00E011C2"/>
    <w:rsid w:val="00E02C5F"/>
    <w:rsid w:val="00E03A3F"/>
    <w:rsid w:val="00E04BA1"/>
    <w:rsid w:val="00E0542A"/>
    <w:rsid w:val="00E10ED5"/>
    <w:rsid w:val="00E12455"/>
    <w:rsid w:val="00E14BAF"/>
    <w:rsid w:val="00E14BB9"/>
    <w:rsid w:val="00E14CA0"/>
    <w:rsid w:val="00E20325"/>
    <w:rsid w:val="00E21012"/>
    <w:rsid w:val="00E2355C"/>
    <w:rsid w:val="00E3499F"/>
    <w:rsid w:val="00E41CD1"/>
    <w:rsid w:val="00E42D69"/>
    <w:rsid w:val="00E51872"/>
    <w:rsid w:val="00E61C0E"/>
    <w:rsid w:val="00E61E46"/>
    <w:rsid w:val="00E66FFF"/>
    <w:rsid w:val="00E70A02"/>
    <w:rsid w:val="00E7121C"/>
    <w:rsid w:val="00E728E7"/>
    <w:rsid w:val="00E74D2F"/>
    <w:rsid w:val="00E766C5"/>
    <w:rsid w:val="00E8460C"/>
    <w:rsid w:val="00E871B6"/>
    <w:rsid w:val="00E918A2"/>
    <w:rsid w:val="00E9503E"/>
    <w:rsid w:val="00E95C7D"/>
    <w:rsid w:val="00EA42D6"/>
    <w:rsid w:val="00EA590C"/>
    <w:rsid w:val="00EB15AB"/>
    <w:rsid w:val="00EB37FC"/>
    <w:rsid w:val="00EB3CD9"/>
    <w:rsid w:val="00EB3DE0"/>
    <w:rsid w:val="00EB455B"/>
    <w:rsid w:val="00EB55AF"/>
    <w:rsid w:val="00EB71A5"/>
    <w:rsid w:val="00EC59AC"/>
    <w:rsid w:val="00ED0871"/>
    <w:rsid w:val="00ED0F40"/>
    <w:rsid w:val="00ED1E2A"/>
    <w:rsid w:val="00ED575E"/>
    <w:rsid w:val="00ED5C64"/>
    <w:rsid w:val="00ED5F7E"/>
    <w:rsid w:val="00ED6F1F"/>
    <w:rsid w:val="00ED7061"/>
    <w:rsid w:val="00EE1C3E"/>
    <w:rsid w:val="00EE6D01"/>
    <w:rsid w:val="00EE7CC7"/>
    <w:rsid w:val="00EF6BFE"/>
    <w:rsid w:val="00F043C8"/>
    <w:rsid w:val="00F04400"/>
    <w:rsid w:val="00F05477"/>
    <w:rsid w:val="00F06700"/>
    <w:rsid w:val="00F074C7"/>
    <w:rsid w:val="00F07A5B"/>
    <w:rsid w:val="00F12DDC"/>
    <w:rsid w:val="00F1301C"/>
    <w:rsid w:val="00F172AC"/>
    <w:rsid w:val="00F35E89"/>
    <w:rsid w:val="00F4237D"/>
    <w:rsid w:val="00F6186B"/>
    <w:rsid w:val="00F62973"/>
    <w:rsid w:val="00F637D5"/>
    <w:rsid w:val="00F74D13"/>
    <w:rsid w:val="00F753EA"/>
    <w:rsid w:val="00F90620"/>
    <w:rsid w:val="00F933AC"/>
    <w:rsid w:val="00FA07DA"/>
    <w:rsid w:val="00FA257C"/>
    <w:rsid w:val="00FA3B58"/>
    <w:rsid w:val="00FB0A1B"/>
    <w:rsid w:val="00FB61E0"/>
    <w:rsid w:val="00FC1FD6"/>
    <w:rsid w:val="00FD2140"/>
    <w:rsid w:val="00FD2172"/>
    <w:rsid w:val="00FD21A5"/>
    <w:rsid w:val="00FD2732"/>
    <w:rsid w:val="00FD29DB"/>
    <w:rsid w:val="00FD33FE"/>
    <w:rsid w:val="00FD3DD3"/>
    <w:rsid w:val="00FD6675"/>
    <w:rsid w:val="00FE1D7C"/>
    <w:rsid w:val="00FE28E0"/>
    <w:rsid w:val="00FE53E8"/>
    <w:rsid w:val="00FF2526"/>
    <w:rsid w:val="00FF2577"/>
    <w:rsid w:val="00FF6C3A"/>
    <w:rsid w:val="01211E2A"/>
    <w:rsid w:val="01287F5C"/>
    <w:rsid w:val="01317F69"/>
    <w:rsid w:val="01391AA3"/>
    <w:rsid w:val="01911652"/>
    <w:rsid w:val="01AB39F5"/>
    <w:rsid w:val="01B379C7"/>
    <w:rsid w:val="01B77C58"/>
    <w:rsid w:val="01D15C6E"/>
    <w:rsid w:val="01D6466C"/>
    <w:rsid w:val="01E53914"/>
    <w:rsid w:val="01F015A6"/>
    <w:rsid w:val="01F955E3"/>
    <w:rsid w:val="0204307B"/>
    <w:rsid w:val="020739DD"/>
    <w:rsid w:val="021653B1"/>
    <w:rsid w:val="02190735"/>
    <w:rsid w:val="022659DD"/>
    <w:rsid w:val="02274EC8"/>
    <w:rsid w:val="026003DA"/>
    <w:rsid w:val="026441E1"/>
    <w:rsid w:val="0264611C"/>
    <w:rsid w:val="0273010D"/>
    <w:rsid w:val="0274647E"/>
    <w:rsid w:val="02783566"/>
    <w:rsid w:val="027D0DB5"/>
    <w:rsid w:val="027F4D04"/>
    <w:rsid w:val="029B3123"/>
    <w:rsid w:val="029F6342"/>
    <w:rsid w:val="02A00FF1"/>
    <w:rsid w:val="02A325A3"/>
    <w:rsid w:val="02A5282B"/>
    <w:rsid w:val="02AD423B"/>
    <w:rsid w:val="02CB51D4"/>
    <w:rsid w:val="02DE1B68"/>
    <w:rsid w:val="02E03B0B"/>
    <w:rsid w:val="02E87E06"/>
    <w:rsid w:val="02F079B0"/>
    <w:rsid w:val="02FA7E64"/>
    <w:rsid w:val="030A1B56"/>
    <w:rsid w:val="030C79CF"/>
    <w:rsid w:val="03261624"/>
    <w:rsid w:val="033602E7"/>
    <w:rsid w:val="03630182"/>
    <w:rsid w:val="036C34DA"/>
    <w:rsid w:val="037759DB"/>
    <w:rsid w:val="03812B09"/>
    <w:rsid w:val="03A14A53"/>
    <w:rsid w:val="03B03EBF"/>
    <w:rsid w:val="03B64405"/>
    <w:rsid w:val="03E33071"/>
    <w:rsid w:val="03EF0ED6"/>
    <w:rsid w:val="040632C8"/>
    <w:rsid w:val="04073203"/>
    <w:rsid w:val="0414401B"/>
    <w:rsid w:val="04155920"/>
    <w:rsid w:val="0427257C"/>
    <w:rsid w:val="043B4C5B"/>
    <w:rsid w:val="044A30F0"/>
    <w:rsid w:val="044A357E"/>
    <w:rsid w:val="044E498E"/>
    <w:rsid w:val="04591908"/>
    <w:rsid w:val="04614AE6"/>
    <w:rsid w:val="047C6EF7"/>
    <w:rsid w:val="04877EA0"/>
    <w:rsid w:val="048835E4"/>
    <w:rsid w:val="048F77E8"/>
    <w:rsid w:val="04912ACD"/>
    <w:rsid w:val="049A2855"/>
    <w:rsid w:val="049F5DCE"/>
    <w:rsid w:val="04A40A52"/>
    <w:rsid w:val="04B70785"/>
    <w:rsid w:val="04B873EB"/>
    <w:rsid w:val="04C133B2"/>
    <w:rsid w:val="04C9495C"/>
    <w:rsid w:val="04CD030F"/>
    <w:rsid w:val="04D255BF"/>
    <w:rsid w:val="04E1002C"/>
    <w:rsid w:val="04ED13BD"/>
    <w:rsid w:val="04F30D3D"/>
    <w:rsid w:val="04FC7471"/>
    <w:rsid w:val="04FE4606"/>
    <w:rsid w:val="05094D59"/>
    <w:rsid w:val="050A6429"/>
    <w:rsid w:val="051200B1"/>
    <w:rsid w:val="0526065A"/>
    <w:rsid w:val="05353DA0"/>
    <w:rsid w:val="05472A88"/>
    <w:rsid w:val="054A2330"/>
    <w:rsid w:val="054E09BE"/>
    <w:rsid w:val="054E467A"/>
    <w:rsid w:val="057B11A7"/>
    <w:rsid w:val="057F7847"/>
    <w:rsid w:val="058816F0"/>
    <w:rsid w:val="05993DE2"/>
    <w:rsid w:val="05A827C4"/>
    <w:rsid w:val="05AE63A0"/>
    <w:rsid w:val="05BB1137"/>
    <w:rsid w:val="05FB6D97"/>
    <w:rsid w:val="06040F34"/>
    <w:rsid w:val="062E0FB2"/>
    <w:rsid w:val="063A78C0"/>
    <w:rsid w:val="06450692"/>
    <w:rsid w:val="065C3A04"/>
    <w:rsid w:val="06704387"/>
    <w:rsid w:val="067B57E2"/>
    <w:rsid w:val="069D7E4F"/>
    <w:rsid w:val="06A27213"/>
    <w:rsid w:val="06BA27AF"/>
    <w:rsid w:val="06C90C44"/>
    <w:rsid w:val="06D35858"/>
    <w:rsid w:val="06E55C44"/>
    <w:rsid w:val="06EE06AA"/>
    <w:rsid w:val="070103DE"/>
    <w:rsid w:val="07017172"/>
    <w:rsid w:val="07100621"/>
    <w:rsid w:val="07204595"/>
    <w:rsid w:val="07230354"/>
    <w:rsid w:val="07261BF2"/>
    <w:rsid w:val="072E0AA7"/>
    <w:rsid w:val="075C5614"/>
    <w:rsid w:val="07651DD8"/>
    <w:rsid w:val="07666493"/>
    <w:rsid w:val="078B414B"/>
    <w:rsid w:val="079B4EAA"/>
    <w:rsid w:val="079F3753"/>
    <w:rsid w:val="07A1571D"/>
    <w:rsid w:val="07AF7E3A"/>
    <w:rsid w:val="07C739AD"/>
    <w:rsid w:val="07D96C64"/>
    <w:rsid w:val="07E55609"/>
    <w:rsid w:val="080D690E"/>
    <w:rsid w:val="0822097E"/>
    <w:rsid w:val="082A3964"/>
    <w:rsid w:val="08387E2F"/>
    <w:rsid w:val="083E30C4"/>
    <w:rsid w:val="083F6E91"/>
    <w:rsid w:val="08430582"/>
    <w:rsid w:val="084B4881"/>
    <w:rsid w:val="085602B5"/>
    <w:rsid w:val="087A52B2"/>
    <w:rsid w:val="088A5836"/>
    <w:rsid w:val="08985469"/>
    <w:rsid w:val="08C2594B"/>
    <w:rsid w:val="08D412B5"/>
    <w:rsid w:val="08DB4092"/>
    <w:rsid w:val="08DF64FD"/>
    <w:rsid w:val="08E41D65"/>
    <w:rsid w:val="08F02CB9"/>
    <w:rsid w:val="08FF26FB"/>
    <w:rsid w:val="090E6DE2"/>
    <w:rsid w:val="091268D2"/>
    <w:rsid w:val="0916257D"/>
    <w:rsid w:val="091F316B"/>
    <w:rsid w:val="092E4D8E"/>
    <w:rsid w:val="0935700F"/>
    <w:rsid w:val="094D34D3"/>
    <w:rsid w:val="094D579B"/>
    <w:rsid w:val="095376BF"/>
    <w:rsid w:val="095742E5"/>
    <w:rsid w:val="096C4286"/>
    <w:rsid w:val="09734E97"/>
    <w:rsid w:val="0976773B"/>
    <w:rsid w:val="097E5D15"/>
    <w:rsid w:val="0983332C"/>
    <w:rsid w:val="09960CA8"/>
    <w:rsid w:val="09A6701A"/>
    <w:rsid w:val="09BA4874"/>
    <w:rsid w:val="09DE0562"/>
    <w:rsid w:val="09E671EC"/>
    <w:rsid w:val="09F55E29"/>
    <w:rsid w:val="0A073F5D"/>
    <w:rsid w:val="0A0D1961"/>
    <w:rsid w:val="0A295E07"/>
    <w:rsid w:val="0A2F67FF"/>
    <w:rsid w:val="0A360B6D"/>
    <w:rsid w:val="0A466107"/>
    <w:rsid w:val="0A7B2255"/>
    <w:rsid w:val="0A8D4287"/>
    <w:rsid w:val="0A913826"/>
    <w:rsid w:val="0A92134D"/>
    <w:rsid w:val="0AB539B9"/>
    <w:rsid w:val="0AC37758"/>
    <w:rsid w:val="0AC54C82"/>
    <w:rsid w:val="0ADB2BEE"/>
    <w:rsid w:val="0ADB7197"/>
    <w:rsid w:val="0B297839"/>
    <w:rsid w:val="0B334F8A"/>
    <w:rsid w:val="0B550A86"/>
    <w:rsid w:val="0B584344"/>
    <w:rsid w:val="0B5D195B"/>
    <w:rsid w:val="0B6D6042"/>
    <w:rsid w:val="0B6E3B68"/>
    <w:rsid w:val="0B720CBA"/>
    <w:rsid w:val="0B755AA9"/>
    <w:rsid w:val="0B9A07FC"/>
    <w:rsid w:val="0B9C2483"/>
    <w:rsid w:val="0B9D6BAD"/>
    <w:rsid w:val="0B9E444D"/>
    <w:rsid w:val="0BA371A9"/>
    <w:rsid w:val="0BA92DF2"/>
    <w:rsid w:val="0BAD40B0"/>
    <w:rsid w:val="0BB774B4"/>
    <w:rsid w:val="0BB974D9"/>
    <w:rsid w:val="0BBC0FB2"/>
    <w:rsid w:val="0BBD3EB9"/>
    <w:rsid w:val="0BC35B2F"/>
    <w:rsid w:val="0BC639A4"/>
    <w:rsid w:val="0BD60374"/>
    <w:rsid w:val="0BDB744F"/>
    <w:rsid w:val="0BF95B27"/>
    <w:rsid w:val="0C08754A"/>
    <w:rsid w:val="0C0A1AE2"/>
    <w:rsid w:val="0C0F7A1D"/>
    <w:rsid w:val="0C195799"/>
    <w:rsid w:val="0C1E558E"/>
    <w:rsid w:val="0C2032F1"/>
    <w:rsid w:val="0C2D757F"/>
    <w:rsid w:val="0C3C5A14"/>
    <w:rsid w:val="0C3E79DE"/>
    <w:rsid w:val="0C403756"/>
    <w:rsid w:val="0C564D28"/>
    <w:rsid w:val="0C590374"/>
    <w:rsid w:val="0C6D2677"/>
    <w:rsid w:val="0C71390F"/>
    <w:rsid w:val="0C902EA8"/>
    <w:rsid w:val="0C9336AD"/>
    <w:rsid w:val="0CA14F93"/>
    <w:rsid w:val="0CC94EBC"/>
    <w:rsid w:val="0CCF4ADA"/>
    <w:rsid w:val="0CEC743A"/>
    <w:rsid w:val="0CEF2A86"/>
    <w:rsid w:val="0CF57932"/>
    <w:rsid w:val="0CFC6D53"/>
    <w:rsid w:val="0D0A3EB7"/>
    <w:rsid w:val="0D182FB0"/>
    <w:rsid w:val="0D215336"/>
    <w:rsid w:val="0D31155A"/>
    <w:rsid w:val="0D34700F"/>
    <w:rsid w:val="0D5004E9"/>
    <w:rsid w:val="0D5154EF"/>
    <w:rsid w:val="0D556D8D"/>
    <w:rsid w:val="0D723A58"/>
    <w:rsid w:val="0D765A12"/>
    <w:rsid w:val="0D906E06"/>
    <w:rsid w:val="0D921D8F"/>
    <w:rsid w:val="0DAF0B93"/>
    <w:rsid w:val="0DB8731C"/>
    <w:rsid w:val="0DD072A0"/>
    <w:rsid w:val="0DE3108D"/>
    <w:rsid w:val="0DE75374"/>
    <w:rsid w:val="0DFA5B87"/>
    <w:rsid w:val="0DFD0FF8"/>
    <w:rsid w:val="0E0028BD"/>
    <w:rsid w:val="0E067EA7"/>
    <w:rsid w:val="0E097B78"/>
    <w:rsid w:val="0E163AF2"/>
    <w:rsid w:val="0E2E6AF4"/>
    <w:rsid w:val="0E2F4A8A"/>
    <w:rsid w:val="0E323572"/>
    <w:rsid w:val="0E39045D"/>
    <w:rsid w:val="0E527771"/>
    <w:rsid w:val="0E795140"/>
    <w:rsid w:val="0EA04B01"/>
    <w:rsid w:val="0EA97C9F"/>
    <w:rsid w:val="0EB16245"/>
    <w:rsid w:val="0EB2020F"/>
    <w:rsid w:val="0ECD6DF7"/>
    <w:rsid w:val="0EE06B2A"/>
    <w:rsid w:val="0EE80FF9"/>
    <w:rsid w:val="0F0720BC"/>
    <w:rsid w:val="0F0A6E2C"/>
    <w:rsid w:val="0F182768"/>
    <w:rsid w:val="0F1A1821"/>
    <w:rsid w:val="0F3338E7"/>
    <w:rsid w:val="0F334EAC"/>
    <w:rsid w:val="0F39623B"/>
    <w:rsid w:val="0F44355D"/>
    <w:rsid w:val="0F694655"/>
    <w:rsid w:val="0F786C55"/>
    <w:rsid w:val="0F7B6521"/>
    <w:rsid w:val="0F953DB9"/>
    <w:rsid w:val="0FB81855"/>
    <w:rsid w:val="0FBF4992"/>
    <w:rsid w:val="0FBF7C16"/>
    <w:rsid w:val="0FC46FEB"/>
    <w:rsid w:val="0FE10DAC"/>
    <w:rsid w:val="0FE71E38"/>
    <w:rsid w:val="0FF85EDB"/>
    <w:rsid w:val="10037665"/>
    <w:rsid w:val="10125409"/>
    <w:rsid w:val="10223384"/>
    <w:rsid w:val="102951AB"/>
    <w:rsid w:val="1041184B"/>
    <w:rsid w:val="104D0706"/>
    <w:rsid w:val="10525806"/>
    <w:rsid w:val="10600C5C"/>
    <w:rsid w:val="10725EA8"/>
    <w:rsid w:val="108D4A90"/>
    <w:rsid w:val="108F6A5A"/>
    <w:rsid w:val="1094120F"/>
    <w:rsid w:val="1096546A"/>
    <w:rsid w:val="1097230C"/>
    <w:rsid w:val="10A5002C"/>
    <w:rsid w:val="10CD6AFE"/>
    <w:rsid w:val="10EC4FDE"/>
    <w:rsid w:val="10FA3CDC"/>
    <w:rsid w:val="110C3C07"/>
    <w:rsid w:val="113413B0"/>
    <w:rsid w:val="113C0C99"/>
    <w:rsid w:val="113D0264"/>
    <w:rsid w:val="11430879"/>
    <w:rsid w:val="1154735C"/>
    <w:rsid w:val="115C68DE"/>
    <w:rsid w:val="11796EDC"/>
    <w:rsid w:val="119B4F8B"/>
    <w:rsid w:val="11A025A1"/>
    <w:rsid w:val="11A77DD3"/>
    <w:rsid w:val="11E55436"/>
    <w:rsid w:val="11EC54B1"/>
    <w:rsid w:val="11F50B3F"/>
    <w:rsid w:val="12042934"/>
    <w:rsid w:val="120C4828"/>
    <w:rsid w:val="120E7664"/>
    <w:rsid w:val="1211776B"/>
    <w:rsid w:val="12185725"/>
    <w:rsid w:val="121A14E4"/>
    <w:rsid w:val="1224631A"/>
    <w:rsid w:val="122B64B4"/>
    <w:rsid w:val="12386C7D"/>
    <w:rsid w:val="12434F9C"/>
    <w:rsid w:val="12435D4E"/>
    <w:rsid w:val="125A33FD"/>
    <w:rsid w:val="12704669"/>
    <w:rsid w:val="12851EC3"/>
    <w:rsid w:val="1292638E"/>
    <w:rsid w:val="129357F9"/>
    <w:rsid w:val="1297339E"/>
    <w:rsid w:val="12A14823"/>
    <w:rsid w:val="12A83E03"/>
    <w:rsid w:val="12AD31C8"/>
    <w:rsid w:val="12BC536A"/>
    <w:rsid w:val="12BE7183"/>
    <w:rsid w:val="12C14EC5"/>
    <w:rsid w:val="12C22190"/>
    <w:rsid w:val="12C406C8"/>
    <w:rsid w:val="12C56B71"/>
    <w:rsid w:val="12E7743C"/>
    <w:rsid w:val="12F157AA"/>
    <w:rsid w:val="12F86B39"/>
    <w:rsid w:val="131F4DFC"/>
    <w:rsid w:val="132642A6"/>
    <w:rsid w:val="132754F7"/>
    <w:rsid w:val="132F322B"/>
    <w:rsid w:val="133833D9"/>
    <w:rsid w:val="135829B4"/>
    <w:rsid w:val="13674C31"/>
    <w:rsid w:val="136E0BA9"/>
    <w:rsid w:val="1371525C"/>
    <w:rsid w:val="139310FE"/>
    <w:rsid w:val="139323BD"/>
    <w:rsid w:val="13AC16D1"/>
    <w:rsid w:val="13AF6871"/>
    <w:rsid w:val="13B23DFD"/>
    <w:rsid w:val="13C457A1"/>
    <w:rsid w:val="13E76168"/>
    <w:rsid w:val="13EE324E"/>
    <w:rsid w:val="13FE2369"/>
    <w:rsid w:val="140908D1"/>
    <w:rsid w:val="140B464A"/>
    <w:rsid w:val="14107EB2"/>
    <w:rsid w:val="141352AC"/>
    <w:rsid w:val="14172FEE"/>
    <w:rsid w:val="14196E38"/>
    <w:rsid w:val="14341A95"/>
    <w:rsid w:val="143A4F2F"/>
    <w:rsid w:val="1441564E"/>
    <w:rsid w:val="1442132A"/>
    <w:rsid w:val="145329CD"/>
    <w:rsid w:val="146B35A3"/>
    <w:rsid w:val="147C5547"/>
    <w:rsid w:val="14830684"/>
    <w:rsid w:val="149A0F1C"/>
    <w:rsid w:val="14A80B22"/>
    <w:rsid w:val="14AB7BDB"/>
    <w:rsid w:val="14B320B2"/>
    <w:rsid w:val="14CE4D4D"/>
    <w:rsid w:val="14D15E38"/>
    <w:rsid w:val="14E32ED1"/>
    <w:rsid w:val="14EE644B"/>
    <w:rsid w:val="15001ED4"/>
    <w:rsid w:val="150F0169"/>
    <w:rsid w:val="15270331"/>
    <w:rsid w:val="152738F7"/>
    <w:rsid w:val="152F3C74"/>
    <w:rsid w:val="15316332"/>
    <w:rsid w:val="15334D63"/>
    <w:rsid w:val="155B11DF"/>
    <w:rsid w:val="15820928"/>
    <w:rsid w:val="1583585B"/>
    <w:rsid w:val="15916DD0"/>
    <w:rsid w:val="15997A33"/>
    <w:rsid w:val="15A703A2"/>
    <w:rsid w:val="15BB5BFB"/>
    <w:rsid w:val="15BE1E47"/>
    <w:rsid w:val="15C43358"/>
    <w:rsid w:val="15D35531"/>
    <w:rsid w:val="15EA64E1"/>
    <w:rsid w:val="15EC4007"/>
    <w:rsid w:val="15FE254A"/>
    <w:rsid w:val="15FF1F8C"/>
    <w:rsid w:val="1638549E"/>
    <w:rsid w:val="163D6FD8"/>
    <w:rsid w:val="16404A39"/>
    <w:rsid w:val="164B2B3A"/>
    <w:rsid w:val="165539DA"/>
    <w:rsid w:val="165878EE"/>
    <w:rsid w:val="166E61B7"/>
    <w:rsid w:val="16A65CAE"/>
    <w:rsid w:val="16A91EF8"/>
    <w:rsid w:val="16C87315"/>
    <w:rsid w:val="16DA6555"/>
    <w:rsid w:val="16DB47A7"/>
    <w:rsid w:val="16DC5DBE"/>
    <w:rsid w:val="16DE6793"/>
    <w:rsid w:val="16EB2510"/>
    <w:rsid w:val="16EB42BE"/>
    <w:rsid w:val="16ED44DA"/>
    <w:rsid w:val="16F31A11"/>
    <w:rsid w:val="16F5513D"/>
    <w:rsid w:val="17070757"/>
    <w:rsid w:val="173E6F16"/>
    <w:rsid w:val="17453497"/>
    <w:rsid w:val="174F22CC"/>
    <w:rsid w:val="17560E52"/>
    <w:rsid w:val="17582776"/>
    <w:rsid w:val="175C6F6A"/>
    <w:rsid w:val="1797236A"/>
    <w:rsid w:val="179E3A27"/>
    <w:rsid w:val="17A4103D"/>
    <w:rsid w:val="17BA0860"/>
    <w:rsid w:val="17BD2487"/>
    <w:rsid w:val="17C96435"/>
    <w:rsid w:val="17CA0378"/>
    <w:rsid w:val="17E34FEF"/>
    <w:rsid w:val="17EC3205"/>
    <w:rsid w:val="17EE4066"/>
    <w:rsid w:val="17F72AB1"/>
    <w:rsid w:val="17FB2C27"/>
    <w:rsid w:val="180A4C18"/>
    <w:rsid w:val="181066D2"/>
    <w:rsid w:val="182F467F"/>
    <w:rsid w:val="18341265"/>
    <w:rsid w:val="18585984"/>
    <w:rsid w:val="185D743E"/>
    <w:rsid w:val="189F1804"/>
    <w:rsid w:val="18A60DE5"/>
    <w:rsid w:val="18AB1F57"/>
    <w:rsid w:val="18B31317"/>
    <w:rsid w:val="18B828C6"/>
    <w:rsid w:val="18B84674"/>
    <w:rsid w:val="18C415CE"/>
    <w:rsid w:val="18C965C0"/>
    <w:rsid w:val="18DA4648"/>
    <w:rsid w:val="18EA3FB7"/>
    <w:rsid w:val="18FF22A3"/>
    <w:rsid w:val="192733FC"/>
    <w:rsid w:val="192F0DDA"/>
    <w:rsid w:val="193D73C9"/>
    <w:rsid w:val="194458C9"/>
    <w:rsid w:val="195023EF"/>
    <w:rsid w:val="195425EF"/>
    <w:rsid w:val="196547FC"/>
    <w:rsid w:val="19706CFD"/>
    <w:rsid w:val="19763EFC"/>
    <w:rsid w:val="19874772"/>
    <w:rsid w:val="198E13E6"/>
    <w:rsid w:val="19C71013"/>
    <w:rsid w:val="19CE6606"/>
    <w:rsid w:val="19D454DE"/>
    <w:rsid w:val="19DF26F1"/>
    <w:rsid w:val="19E31528"/>
    <w:rsid w:val="1A057D8D"/>
    <w:rsid w:val="1A077661"/>
    <w:rsid w:val="1A0872A7"/>
    <w:rsid w:val="1A141972"/>
    <w:rsid w:val="1A143DF9"/>
    <w:rsid w:val="1A400152"/>
    <w:rsid w:val="1A473B85"/>
    <w:rsid w:val="1A4E703E"/>
    <w:rsid w:val="1A622AE9"/>
    <w:rsid w:val="1A7174D1"/>
    <w:rsid w:val="1A7C64C5"/>
    <w:rsid w:val="1A8D6144"/>
    <w:rsid w:val="1A8E7D82"/>
    <w:rsid w:val="1A995465"/>
    <w:rsid w:val="1A9A6727"/>
    <w:rsid w:val="1AAE759F"/>
    <w:rsid w:val="1AE717AC"/>
    <w:rsid w:val="1AE7638C"/>
    <w:rsid w:val="1AEA675D"/>
    <w:rsid w:val="1AFD0A64"/>
    <w:rsid w:val="1B0E3F49"/>
    <w:rsid w:val="1B291859"/>
    <w:rsid w:val="1B345B92"/>
    <w:rsid w:val="1B385164"/>
    <w:rsid w:val="1B395F40"/>
    <w:rsid w:val="1B6034CD"/>
    <w:rsid w:val="1B762CF0"/>
    <w:rsid w:val="1B767316"/>
    <w:rsid w:val="1B8B6070"/>
    <w:rsid w:val="1BA80405"/>
    <w:rsid w:val="1BB34C01"/>
    <w:rsid w:val="1BC56EEA"/>
    <w:rsid w:val="1BC7354C"/>
    <w:rsid w:val="1BD30E1D"/>
    <w:rsid w:val="1BD45C69"/>
    <w:rsid w:val="1BD83E45"/>
    <w:rsid w:val="1BEA4254"/>
    <w:rsid w:val="1C0539CF"/>
    <w:rsid w:val="1C0A5D97"/>
    <w:rsid w:val="1C142509"/>
    <w:rsid w:val="1C2269D4"/>
    <w:rsid w:val="1C284B16"/>
    <w:rsid w:val="1C302E5D"/>
    <w:rsid w:val="1C4F74BB"/>
    <w:rsid w:val="1C6A6B78"/>
    <w:rsid w:val="1C6E7E6B"/>
    <w:rsid w:val="1CB70417"/>
    <w:rsid w:val="1CBC09C8"/>
    <w:rsid w:val="1CBF1F50"/>
    <w:rsid w:val="1CCA54B9"/>
    <w:rsid w:val="1CE43C8A"/>
    <w:rsid w:val="1D1633DB"/>
    <w:rsid w:val="1D305121"/>
    <w:rsid w:val="1D306ECF"/>
    <w:rsid w:val="1D39655E"/>
    <w:rsid w:val="1D645FB9"/>
    <w:rsid w:val="1D682B0D"/>
    <w:rsid w:val="1D6B7F07"/>
    <w:rsid w:val="1D6C3CB5"/>
    <w:rsid w:val="1D725191"/>
    <w:rsid w:val="1D74003F"/>
    <w:rsid w:val="1DBC6CDD"/>
    <w:rsid w:val="1DBE097F"/>
    <w:rsid w:val="1DBE272D"/>
    <w:rsid w:val="1DBF0627"/>
    <w:rsid w:val="1DBF0EA6"/>
    <w:rsid w:val="1DC67833"/>
    <w:rsid w:val="1DD04C16"/>
    <w:rsid w:val="1DD447BB"/>
    <w:rsid w:val="1DD90FFD"/>
    <w:rsid w:val="1DDD272D"/>
    <w:rsid w:val="1DF93765"/>
    <w:rsid w:val="1E2C58E8"/>
    <w:rsid w:val="1E390005"/>
    <w:rsid w:val="1E5A7402"/>
    <w:rsid w:val="1E601A36"/>
    <w:rsid w:val="1E625188"/>
    <w:rsid w:val="1E62755C"/>
    <w:rsid w:val="1E763344"/>
    <w:rsid w:val="1E764DB5"/>
    <w:rsid w:val="1E7A2AF8"/>
    <w:rsid w:val="1E866C5D"/>
    <w:rsid w:val="1E8D7FAD"/>
    <w:rsid w:val="1E9644A5"/>
    <w:rsid w:val="1E9E3829"/>
    <w:rsid w:val="1EA3650A"/>
    <w:rsid w:val="1EAD02B5"/>
    <w:rsid w:val="1EC278D6"/>
    <w:rsid w:val="1EC45B21"/>
    <w:rsid w:val="1ECA6EAF"/>
    <w:rsid w:val="1ED668A5"/>
    <w:rsid w:val="1EDB265E"/>
    <w:rsid w:val="1EDD1986"/>
    <w:rsid w:val="1EDE751C"/>
    <w:rsid w:val="1EE25969"/>
    <w:rsid w:val="1EE408E7"/>
    <w:rsid w:val="1EE95587"/>
    <w:rsid w:val="1F0D56D6"/>
    <w:rsid w:val="1F134CFA"/>
    <w:rsid w:val="1F1A41DD"/>
    <w:rsid w:val="1F1A491A"/>
    <w:rsid w:val="1F2B4319"/>
    <w:rsid w:val="1F30765A"/>
    <w:rsid w:val="1F35643E"/>
    <w:rsid w:val="1F460C2C"/>
    <w:rsid w:val="1F647D5C"/>
    <w:rsid w:val="1F7237CF"/>
    <w:rsid w:val="1F727C25"/>
    <w:rsid w:val="1F751511"/>
    <w:rsid w:val="1F797577"/>
    <w:rsid w:val="1F7C289F"/>
    <w:rsid w:val="1F903714"/>
    <w:rsid w:val="1F92583B"/>
    <w:rsid w:val="1F9E45C4"/>
    <w:rsid w:val="1FAA6FC9"/>
    <w:rsid w:val="1FB1282A"/>
    <w:rsid w:val="1FB742A8"/>
    <w:rsid w:val="1FB931AC"/>
    <w:rsid w:val="1FBD7DA1"/>
    <w:rsid w:val="1FE83A91"/>
    <w:rsid w:val="1FF40688"/>
    <w:rsid w:val="200B1F92"/>
    <w:rsid w:val="201743BA"/>
    <w:rsid w:val="201A79C2"/>
    <w:rsid w:val="20381B49"/>
    <w:rsid w:val="204038CD"/>
    <w:rsid w:val="204D7D98"/>
    <w:rsid w:val="2060367F"/>
    <w:rsid w:val="2074045F"/>
    <w:rsid w:val="208E4638"/>
    <w:rsid w:val="20900791"/>
    <w:rsid w:val="20993431"/>
    <w:rsid w:val="20A7394C"/>
    <w:rsid w:val="20AA51EA"/>
    <w:rsid w:val="20BD316F"/>
    <w:rsid w:val="20BD4741"/>
    <w:rsid w:val="20C53DD2"/>
    <w:rsid w:val="20C74035"/>
    <w:rsid w:val="20C938C2"/>
    <w:rsid w:val="20CE712B"/>
    <w:rsid w:val="20DA089D"/>
    <w:rsid w:val="20E35826"/>
    <w:rsid w:val="20E406FC"/>
    <w:rsid w:val="210F4B11"/>
    <w:rsid w:val="21187BA4"/>
    <w:rsid w:val="211B39F2"/>
    <w:rsid w:val="211D5502"/>
    <w:rsid w:val="21221225"/>
    <w:rsid w:val="21260DB9"/>
    <w:rsid w:val="214D441A"/>
    <w:rsid w:val="214E201A"/>
    <w:rsid w:val="21505D92"/>
    <w:rsid w:val="21515666"/>
    <w:rsid w:val="21695F2A"/>
    <w:rsid w:val="21993693"/>
    <w:rsid w:val="219C6C8C"/>
    <w:rsid w:val="21A25EC1"/>
    <w:rsid w:val="21B43662"/>
    <w:rsid w:val="21B761EC"/>
    <w:rsid w:val="21BC51D5"/>
    <w:rsid w:val="21BE791C"/>
    <w:rsid w:val="21C23786"/>
    <w:rsid w:val="21C8560F"/>
    <w:rsid w:val="21E62252"/>
    <w:rsid w:val="21EE7F72"/>
    <w:rsid w:val="21FA26D6"/>
    <w:rsid w:val="220B7F0B"/>
    <w:rsid w:val="221A3B7F"/>
    <w:rsid w:val="221B57B1"/>
    <w:rsid w:val="2230171F"/>
    <w:rsid w:val="22364833"/>
    <w:rsid w:val="22536F49"/>
    <w:rsid w:val="226D4721"/>
    <w:rsid w:val="228201CD"/>
    <w:rsid w:val="22827223"/>
    <w:rsid w:val="228F7F53"/>
    <w:rsid w:val="2291659C"/>
    <w:rsid w:val="22AA3280"/>
    <w:rsid w:val="22B440FE"/>
    <w:rsid w:val="22C50343"/>
    <w:rsid w:val="22C75BE0"/>
    <w:rsid w:val="22C95DFC"/>
    <w:rsid w:val="22CD6F6E"/>
    <w:rsid w:val="22D30A28"/>
    <w:rsid w:val="22D80C0E"/>
    <w:rsid w:val="22D861F3"/>
    <w:rsid w:val="22D93E8C"/>
    <w:rsid w:val="22DD5403"/>
    <w:rsid w:val="22F326FE"/>
    <w:rsid w:val="22F45DAA"/>
    <w:rsid w:val="23040BE2"/>
    <w:rsid w:val="23092231"/>
    <w:rsid w:val="23512450"/>
    <w:rsid w:val="235F22BC"/>
    <w:rsid w:val="23712C4B"/>
    <w:rsid w:val="23730E9E"/>
    <w:rsid w:val="23824BB2"/>
    <w:rsid w:val="239B5EA4"/>
    <w:rsid w:val="23AA3B2F"/>
    <w:rsid w:val="23B04715"/>
    <w:rsid w:val="23C74B5A"/>
    <w:rsid w:val="23D31E12"/>
    <w:rsid w:val="23D507D0"/>
    <w:rsid w:val="23EB2DE2"/>
    <w:rsid w:val="23F04219"/>
    <w:rsid w:val="23FA7552"/>
    <w:rsid w:val="240A66CC"/>
    <w:rsid w:val="24121E1F"/>
    <w:rsid w:val="24163D08"/>
    <w:rsid w:val="24222D78"/>
    <w:rsid w:val="242B6642"/>
    <w:rsid w:val="24343749"/>
    <w:rsid w:val="24373239"/>
    <w:rsid w:val="244F103B"/>
    <w:rsid w:val="245422CA"/>
    <w:rsid w:val="245B2A56"/>
    <w:rsid w:val="24724246"/>
    <w:rsid w:val="24771B3B"/>
    <w:rsid w:val="249E01DD"/>
    <w:rsid w:val="24A402F9"/>
    <w:rsid w:val="24A63368"/>
    <w:rsid w:val="24BC512B"/>
    <w:rsid w:val="24D055DB"/>
    <w:rsid w:val="24DB5972"/>
    <w:rsid w:val="24DD4983"/>
    <w:rsid w:val="24E403C5"/>
    <w:rsid w:val="24E720E0"/>
    <w:rsid w:val="24F72C39"/>
    <w:rsid w:val="25034EC9"/>
    <w:rsid w:val="25092966"/>
    <w:rsid w:val="25185B43"/>
    <w:rsid w:val="25207829"/>
    <w:rsid w:val="252A7984"/>
    <w:rsid w:val="2536704D"/>
    <w:rsid w:val="253877EC"/>
    <w:rsid w:val="253F5E8A"/>
    <w:rsid w:val="25423C43"/>
    <w:rsid w:val="254E083A"/>
    <w:rsid w:val="25565941"/>
    <w:rsid w:val="25641E0C"/>
    <w:rsid w:val="25691621"/>
    <w:rsid w:val="256D244F"/>
    <w:rsid w:val="25754083"/>
    <w:rsid w:val="259326F1"/>
    <w:rsid w:val="25AA1ED9"/>
    <w:rsid w:val="25AC730F"/>
    <w:rsid w:val="25B209D2"/>
    <w:rsid w:val="25B85CB3"/>
    <w:rsid w:val="25BF6EB9"/>
    <w:rsid w:val="25C94365"/>
    <w:rsid w:val="25D00995"/>
    <w:rsid w:val="25DD4803"/>
    <w:rsid w:val="25DF715B"/>
    <w:rsid w:val="25ED73CA"/>
    <w:rsid w:val="25F2092D"/>
    <w:rsid w:val="25F70700"/>
    <w:rsid w:val="25FC0D64"/>
    <w:rsid w:val="261053BF"/>
    <w:rsid w:val="26105AEF"/>
    <w:rsid w:val="261F5D33"/>
    <w:rsid w:val="263F0183"/>
    <w:rsid w:val="2657371E"/>
    <w:rsid w:val="26606A77"/>
    <w:rsid w:val="266668AC"/>
    <w:rsid w:val="266F6214"/>
    <w:rsid w:val="26704D1E"/>
    <w:rsid w:val="269D375D"/>
    <w:rsid w:val="26AD1590"/>
    <w:rsid w:val="26B50445"/>
    <w:rsid w:val="26CE5A1A"/>
    <w:rsid w:val="26D4070D"/>
    <w:rsid w:val="26DB4FDA"/>
    <w:rsid w:val="26EE0CA7"/>
    <w:rsid w:val="26FA6339"/>
    <w:rsid w:val="271E423C"/>
    <w:rsid w:val="27276FD9"/>
    <w:rsid w:val="273E3F4D"/>
    <w:rsid w:val="275E378D"/>
    <w:rsid w:val="27744462"/>
    <w:rsid w:val="278C389C"/>
    <w:rsid w:val="27B37B36"/>
    <w:rsid w:val="27CA09CA"/>
    <w:rsid w:val="27D00E87"/>
    <w:rsid w:val="27F702BD"/>
    <w:rsid w:val="28207B40"/>
    <w:rsid w:val="28350FE6"/>
    <w:rsid w:val="284678FC"/>
    <w:rsid w:val="284D2BFA"/>
    <w:rsid w:val="284F6DA3"/>
    <w:rsid w:val="285103AF"/>
    <w:rsid w:val="287F7488"/>
    <w:rsid w:val="28814A83"/>
    <w:rsid w:val="288602EB"/>
    <w:rsid w:val="288E0F4E"/>
    <w:rsid w:val="28A3087D"/>
    <w:rsid w:val="28A45349"/>
    <w:rsid w:val="28A877C7"/>
    <w:rsid w:val="28BA7F95"/>
    <w:rsid w:val="28F56982"/>
    <w:rsid w:val="29143B49"/>
    <w:rsid w:val="291D3AD8"/>
    <w:rsid w:val="291E0523"/>
    <w:rsid w:val="29273882"/>
    <w:rsid w:val="29325D7D"/>
    <w:rsid w:val="29367F76"/>
    <w:rsid w:val="294206B6"/>
    <w:rsid w:val="29475CCC"/>
    <w:rsid w:val="295236DA"/>
    <w:rsid w:val="29641FB0"/>
    <w:rsid w:val="29763EBB"/>
    <w:rsid w:val="297B6D20"/>
    <w:rsid w:val="297D524A"/>
    <w:rsid w:val="298C27EC"/>
    <w:rsid w:val="29912711"/>
    <w:rsid w:val="29916893"/>
    <w:rsid w:val="299E04CA"/>
    <w:rsid w:val="29A859D1"/>
    <w:rsid w:val="29BF3AB4"/>
    <w:rsid w:val="29C015DB"/>
    <w:rsid w:val="29CC7F7F"/>
    <w:rsid w:val="29DB4666"/>
    <w:rsid w:val="29E13A1D"/>
    <w:rsid w:val="29E21551"/>
    <w:rsid w:val="29F01EC0"/>
    <w:rsid w:val="29FA1F67"/>
    <w:rsid w:val="2A0411F8"/>
    <w:rsid w:val="2A06146B"/>
    <w:rsid w:val="2A1C0F07"/>
    <w:rsid w:val="2A2102CB"/>
    <w:rsid w:val="2A257690"/>
    <w:rsid w:val="2A2878AC"/>
    <w:rsid w:val="2A337FFE"/>
    <w:rsid w:val="2A4B2B2E"/>
    <w:rsid w:val="2A4E6BE6"/>
    <w:rsid w:val="2A5266D7"/>
    <w:rsid w:val="2A537B47"/>
    <w:rsid w:val="2A5B4410"/>
    <w:rsid w:val="2A693A20"/>
    <w:rsid w:val="2A6B7798"/>
    <w:rsid w:val="2A704DAF"/>
    <w:rsid w:val="2A707A61"/>
    <w:rsid w:val="2A824E70"/>
    <w:rsid w:val="2A9570F1"/>
    <w:rsid w:val="2AB41AFF"/>
    <w:rsid w:val="2ABC5A31"/>
    <w:rsid w:val="2AC1385C"/>
    <w:rsid w:val="2AD17242"/>
    <w:rsid w:val="2AE65071"/>
    <w:rsid w:val="2AEF3F25"/>
    <w:rsid w:val="2B033E75"/>
    <w:rsid w:val="2B055C91"/>
    <w:rsid w:val="2B136BA2"/>
    <w:rsid w:val="2B14398C"/>
    <w:rsid w:val="2B1D60A6"/>
    <w:rsid w:val="2B22254D"/>
    <w:rsid w:val="2B275DB5"/>
    <w:rsid w:val="2B4C1378"/>
    <w:rsid w:val="2B4E343A"/>
    <w:rsid w:val="2B512334"/>
    <w:rsid w:val="2B512E08"/>
    <w:rsid w:val="2B5F2AEE"/>
    <w:rsid w:val="2B655C74"/>
    <w:rsid w:val="2B6D12EE"/>
    <w:rsid w:val="2B764BE3"/>
    <w:rsid w:val="2B7D3C27"/>
    <w:rsid w:val="2B885195"/>
    <w:rsid w:val="2B8C5EF3"/>
    <w:rsid w:val="2B9022C9"/>
    <w:rsid w:val="2B922289"/>
    <w:rsid w:val="2B967998"/>
    <w:rsid w:val="2B98280F"/>
    <w:rsid w:val="2BAE3DE1"/>
    <w:rsid w:val="2BBC0BA2"/>
    <w:rsid w:val="2BCA60F5"/>
    <w:rsid w:val="2BCE4483"/>
    <w:rsid w:val="2BF5722F"/>
    <w:rsid w:val="2BF8505C"/>
    <w:rsid w:val="2C167BD8"/>
    <w:rsid w:val="2C216339"/>
    <w:rsid w:val="2C484235"/>
    <w:rsid w:val="2C5D75B5"/>
    <w:rsid w:val="2C8B5335"/>
    <w:rsid w:val="2C9528BD"/>
    <w:rsid w:val="2C9A6598"/>
    <w:rsid w:val="2C9C0F31"/>
    <w:rsid w:val="2C9E20A7"/>
    <w:rsid w:val="2C9F5E1F"/>
    <w:rsid w:val="2CAB0320"/>
    <w:rsid w:val="2CB2481F"/>
    <w:rsid w:val="2CBD0053"/>
    <w:rsid w:val="2CCA2E9C"/>
    <w:rsid w:val="2CE90A48"/>
    <w:rsid w:val="2CF0667B"/>
    <w:rsid w:val="2CFE69AB"/>
    <w:rsid w:val="2D034C1E"/>
    <w:rsid w:val="2D0F08AF"/>
    <w:rsid w:val="2D1265F1"/>
    <w:rsid w:val="2D391DD0"/>
    <w:rsid w:val="2D393B7E"/>
    <w:rsid w:val="2D3E7D03"/>
    <w:rsid w:val="2D4B294E"/>
    <w:rsid w:val="2D542766"/>
    <w:rsid w:val="2D544B2D"/>
    <w:rsid w:val="2D564730"/>
    <w:rsid w:val="2D7642C7"/>
    <w:rsid w:val="2D7A5AF1"/>
    <w:rsid w:val="2D7F6DD3"/>
    <w:rsid w:val="2D94061C"/>
    <w:rsid w:val="2DA76D39"/>
    <w:rsid w:val="2DBB39A9"/>
    <w:rsid w:val="2DBF3691"/>
    <w:rsid w:val="2DC93154"/>
    <w:rsid w:val="2DCC49F2"/>
    <w:rsid w:val="2DEA4E78"/>
    <w:rsid w:val="2E100D83"/>
    <w:rsid w:val="2E2935E7"/>
    <w:rsid w:val="2E3031D3"/>
    <w:rsid w:val="2E89303E"/>
    <w:rsid w:val="2E8F473D"/>
    <w:rsid w:val="2E9D6EE1"/>
    <w:rsid w:val="2EC1207D"/>
    <w:rsid w:val="2EDE2C2F"/>
    <w:rsid w:val="2EF97A69"/>
    <w:rsid w:val="2F0B779C"/>
    <w:rsid w:val="2F0D0E1E"/>
    <w:rsid w:val="2F0D5762"/>
    <w:rsid w:val="2F104DB2"/>
    <w:rsid w:val="2F13099C"/>
    <w:rsid w:val="2F1555EE"/>
    <w:rsid w:val="2F2443BA"/>
    <w:rsid w:val="2F300FB0"/>
    <w:rsid w:val="2F755F6A"/>
    <w:rsid w:val="2F8A439B"/>
    <w:rsid w:val="2F8E0B9D"/>
    <w:rsid w:val="2FA432A0"/>
    <w:rsid w:val="2FB969A5"/>
    <w:rsid w:val="2FD1009E"/>
    <w:rsid w:val="30300D01"/>
    <w:rsid w:val="30446AC1"/>
    <w:rsid w:val="3050190A"/>
    <w:rsid w:val="30590093"/>
    <w:rsid w:val="30717AD3"/>
    <w:rsid w:val="30751371"/>
    <w:rsid w:val="30843D9D"/>
    <w:rsid w:val="3087358A"/>
    <w:rsid w:val="30886F7D"/>
    <w:rsid w:val="309C1849"/>
    <w:rsid w:val="30BC5EEC"/>
    <w:rsid w:val="30C850DA"/>
    <w:rsid w:val="30CB71E3"/>
    <w:rsid w:val="30D3393C"/>
    <w:rsid w:val="30DD327D"/>
    <w:rsid w:val="30E107B4"/>
    <w:rsid w:val="30F2476F"/>
    <w:rsid w:val="30F27B93"/>
    <w:rsid w:val="31025EE6"/>
    <w:rsid w:val="312F620E"/>
    <w:rsid w:val="31321BF6"/>
    <w:rsid w:val="31351881"/>
    <w:rsid w:val="314E691D"/>
    <w:rsid w:val="314F0184"/>
    <w:rsid w:val="31501496"/>
    <w:rsid w:val="3175316A"/>
    <w:rsid w:val="3178510A"/>
    <w:rsid w:val="318A2097"/>
    <w:rsid w:val="31975317"/>
    <w:rsid w:val="31992E3D"/>
    <w:rsid w:val="319C5DFA"/>
    <w:rsid w:val="31A0509F"/>
    <w:rsid w:val="31A2252C"/>
    <w:rsid w:val="31B639EF"/>
    <w:rsid w:val="31C31BE2"/>
    <w:rsid w:val="31C51510"/>
    <w:rsid w:val="31C972B1"/>
    <w:rsid w:val="31CC7430"/>
    <w:rsid w:val="31FC517A"/>
    <w:rsid w:val="31FE07B0"/>
    <w:rsid w:val="320329AC"/>
    <w:rsid w:val="32106957"/>
    <w:rsid w:val="32181CCE"/>
    <w:rsid w:val="32266052"/>
    <w:rsid w:val="323733E5"/>
    <w:rsid w:val="32425283"/>
    <w:rsid w:val="3247469D"/>
    <w:rsid w:val="324E00CB"/>
    <w:rsid w:val="3267118D"/>
    <w:rsid w:val="328410C5"/>
    <w:rsid w:val="32844C35"/>
    <w:rsid w:val="32A41A99"/>
    <w:rsid w:val="32AC3044"/>
    <w:rsid w:val="32AF7967"/>
    <w:rsid w:val="32B50114"/>
    <w:rsid w:val="32B819E9"/>
    <w:rsid w:val="32C24615"/>
    <w:rsid w:val="32D228C1"/>
    <w:rsid w:val="32FC18D5"/>
    <w:rsid w:val="3304054E"/>
    <w:rsid w:val="330460CD"/>
    <w:rsid w:val="33054E14"/>
    <w:rsid w:val="333054AD"/>
    <w:rsid w:val="33323549"/>
    <w:rsid w:val="33370B5F"/>
    <w:rsid w:val="33380434"/>
    <w:rsid w:val="333D7DC0"/>
    <w:rsid w:val="33424F22"/>
    <w:rsid w:val="334D5DFF"/>
    <w:rsid w:val="334F01CE"/>
    <w:rsid w:val="33582884"/>
    <w:rsid w:val="33721B98"/>
    <w:rsid w:val="33767E61"/>
    <w:rsid w:val="338052E3"/>
    <w:rsid w:val="3390201E"/>
    <w:rsid w:val="33922B2D"/>
    <w:rsid w:val="33953AD8"/>
    <w:rsid w:val="33B25DC6"/>
    <w:rsid w:val="33C74824"/>
    <w:rsid w:val="33D024FC"/>
    <w:rsid w:val="33E03E4C"/>
    <w:rsid w:val="340A5999"/>
    <w:rsid w:val="340F388A"/>
    <w:rsid w:val="34285922"/>
    <w:rsid w:val="34287731"/>
    <w:rsid w:val="342F48F7"/>
    <w:rsid w:val="342F53E4"/>
    <w:rsid w:val="342F6738"/>
    <w:rsid w:val="34354F54"/>
    <w:rsid w:val="34365896"/>
    <w:rsid w:val="34452E08"/>
    <w:rsid w:val="34536B78"/>
    <w:rsid w:val="345B6AD0"/>
    <w:rsid w:val="3467634A"/>
    <w:rsid w:val="3468528B"/>
    <w:rsid w:val="346C4839"/>
    <w:rsid w:val="34883A81"/>
    <w:rsid w:val="3491429F"/>
    <w:rsid w:val="349237E3"/>
    <w:rsid w:val="34AE2FBC"/>
    <w:rsid w:val="34C549EF"/>
    <w:rsid w:val="34C62449"/>
    <w:rsid w:val="34CE205D"/>
    <w:rsid w:val="34D45F78"/>
    <w:rsid w:val="34D75AC5"/>
    <w:rsid w:val="34D95070"/>
    <w:rsid w:val="34E42E5A"/>
    <w:rsid w:val="34EC7728"/>
    <w:rsid w:val="350B6860"/>
    <w:rsid w:val="35123632"/>
    <w:rsid w:val="35303DBC"/>
    <w:rsid w:val="354151FC"/>
    <w:rsid w:val="354B524C"/>
    <w:rsid w:val="355E2D37"/>
    <w:rsid w:val="35641354"/>
    <w:rsid w:val="35721391"/>
    <w:rsid w:val="35754B3B"/>
    <w:rsid w:val="358908DA"/>
    <w:rsid w:val="358B5193"/>
    <w:rsid w:val="35A647B4"/>
    <w:rsid w:val="35C30488"/>
    <w:rsid w:val="35C57BBF"/>
    <w:rsid w:val="35C64EB1"/>
    <w:rsid w:val="35CB1D6D"/>
    <w:rsid w:val="35DA410B"/>
    <w:rsid w:val="35E13004"/>
    <w:rsid w:val="35E30B2B"/>
    <w:rsid w:val="35EE629E"/>
    <w:rsid w:val="35FD01EF"/>
    <w:rsid w:val="35FD29D6"/>
    <w:rsid w:val="36015455"/>
    <w:rsid w:val="360B0081"/>
    <w:rsid w:val="360E2F30"/>
    <w:rsid w:val="362F443C"/>
    <w:rsid w:val="363413D7"/>
    <w:rsid w:val="366F2FCA"/>
    <w:rsid w:val="367D1CA6"/>
    <w:rsid w:val="367F36B5"/>
    <w:rsid w:val="36910B24"/>
    <w:rsid w:val="36A35226"/>
    <w:rsid w:val="36AC3590"/>
    <w:rsid w:val="36AC716F"/>
    <w:rsid w:val="36B91988"/>
    <w:rsid w:val="36C230AE"/>
    <w:rsid w:val="36DE3E63"/>
    <w:rsid w:val="36DF5796"/>
    <w:rsid w:val="36E44B5A"/>
    <w:rsid w:val="36E56B24"/>
    <w:rsid w:val="36EA4DC9"/>
    <w:rsid w:val="36F17277"/>
    <w:rsid w:val="3700570C"/>
    <w:rsid w:val="37094512"/>
    <w:rsid w:val="37152977"/>
    <w:rsid w:val="37182A56"/>
    <w:rsid w:val="371C5292"/>
    <w:rsid w:val="3733163E"/>
    <w:rsid w:val="37373B38"/>
    <w:rsid w:val="37503831"/>
    <w:rsid w:val="375135BC"/>
    <w:rsid w:val="376C1618"/>
    <w:rsid w:val="3790083E"/>
    <w:rsid w:val="37996BEE"/>
    <w:rsid w:val="379A26B0"/>
    <w:rsid w:val="37A442EA"/>
    <w:rsid w:val="37B716AB"/>
    <w:rsid w:val="37C87FD8"/>
    <w:rsid w:val="37E47AB3"/>
    <w:rsid w:val="37E61BA3"/>
    <w:rsid w:val="37E868CC"/>
    <w:rsid w:val="37EC7A62"/>
    <w:rsid w:val="37F611F9"/>
    <w:rsid w:val="37FA0E55"/>
    <w:rsid w:val="37FD406E"/>
    <w:rsid w:val="37FF7772"/>
    <w:rsid w:val="38042FDA"/>
    <w:rsid w:val="3814321D"/>
    <w:rsid w:val="381B0A50"/>
    <w:rsid w:val="382751ED"/>
    <w:rsid w:val="38490CD3"/>
    <w:rsid w:val="385171D1"/>
    <w:rsid w:val="385F444C"/>
    <w:rsid w:val="388B5124"/>
    <w:rsid w:val="389338B6"/>
    <w:rsid w:val="38A50319"/>
    <w:rsid w:val="38AC16A8"/>
    <w:rsid w:val="38AF73EA"/>
    <w:rsid w:val="38DB01DF"/>
    <w:rsid w:val="38DF7CCF"/>
    <w:rsid w:val="39070FD0"/>
    <w:rsid w:val="390B1D19"/>
    <w:rsid w:val="390E623C"/>
    <w:rsid w:val="3914549F"/>
    <w:rsid w:val="39161217"/>
    <w:rsid w:val="39355ABC"/>
    <w:rsid w:val="39355B41"/>
    <w:rsid w:val="394E6A2E"/>
    <w:rsid w:val="39671A73"/>
    <w:rsid w:val="396B3311"/>
    <w:rsid w:val="396C0617"/>
    <w:rsid w:val="396E6FB5"/>
    <w:rsid w:val="396F1706"/>
    <w:rsid w:val="39847202"/>
    <w:rsid w:val="398919E9"/>
    <w:rsid w:val="39A15CD6"/>
    <w:rsid w:val="39A36EB5"/>
    <w:rsid w:val="39AB195F"/>
    <w:rsid w:val="39CC367A"/>
    <w:rsid w:val="3A045788"/>
    <w:rsid w:val="3A092B2A"/>
    <w:rsid w:val="3A1B6D1D"/>
    <w:rsid w:val="3A1D54F7"/>
    <w:rsid w:val="3A2825FD"/>
    <w:rsid w:val="3A2C2FE1"/>
    <w:rsid w:val="3A3740C8"/>
    <w:rsid w:val="3A3C578A"/>
    <w:rsid w:val="3A4D6EBA"/>
    <w:rsid w:val="3A573895"/>
    <w:rsid w:val="3A687850"/>
    <w:rsid w:val="3A795FFC"/>
    <w:rsid w:val="3A946897"/>
    <w:rsid w:val="3AB57BE2"/>
    <w:rsid w:val="3AC32CD9"/>
    <w:rsid w:val="3ADB6274"/>
    <w:rsid w:val="3AFB2473"/>
    <w:rsid w:val="3B026813"/>
    <w:rsid w:val="3B070E17"/>
    <w:rsid w:val="3B275AD5"/>
    <w:rsid w:val="3B302CB7"/>
    <w:rsid w:val="3B424545"/>
    <w:rsid w:val="3B6D1539"/>
    <w:rsid w:val="3B8B1A48"/>
    <w:rsid w:val="3BA650FC"/>
    <w:rsid w:val="3BA7084C"/>
    <w:rsid w:val="3BA94414"/>
    <w:rsid w:val="3BD50F16"/>
    <w:rsid w:val="3BD84A38"/>
    <w:rsid w:val="3BE058FC"/>
    <w:rsid w:val="3BE473AB"/>
    <w:rsid w:val="3BEB1513"/>
    <w:rsid w:val="3BFE1F56"/>
    <w:rsid w:val="3C0C409C"/>
    <w:rsid w:val="3C0E4427"/>
    <w:rsid w:val="3C26744A"/>
    <w:rsid w:val="3C355E58"/>
    <w:rsid w:val="3C485B8B"/>
    <w:rsid w:val="3C591B47"/>
    <w:rsid w:val="3C616C4D"/>
    <w:rsid w:val="3C681D8A"/>
    <w:rsid w:val="3C690393"/>
    <w:rsid w:val="3C7324DC"/>
    <w:rsid w:val="3C7E335B"/>
    <w:rsid w:val="3C960AEE"/>
    <w:rsid w:val="3C984A9F"/>
    <w:rsid w:val="3C9B215F"/>
    <w:rsid w:val="3C9E39FD"/>
    <w:rsid w:val="3CC1149A"/>
    <w:rsid w:val="3CCA034E"/>
    <w:rsid w:val="3CD64F45"/>
    <w:rsid w:val="3CD856D2"/>
    <w:rsid w:val="3CDE0AF1"/>
    <w:rsid w:val="3CDF1CD3"/>
    <w:rsid w:val="3CE4141E"/>
    <w:rsid w:val="3CE87FB3"/>
    <w:rsid w:val="3CFD5C00"/>
    <w:rsid w:val="3D0614F4"/>
    <w:rsid w:val="3D265B5A"/>
    <w:rsid w:val="3D3178F2"/>
    <w:rsid w:val="3D3879AE"/>
    <w:rsid w:val="3D39545D"/>
    <w:rsid w:val="3D3A33A6"/>
    <w:rsid w:val="3D62504C"/>
    <w:rsid w:val="3D6606E6"/>
    <w:rsid w:val="3D6A3FDF"/>
    <w:rsid w:val="3D6E41A1"/>
    <w:rsid w:val="3D7869CC"/>
    <w:rsid w:val="3D791D75"/>
    <w:rsid w:val="3DA36DA1"/>
    <w:rsid w:val="3DA823F9"/>
    <w:rsid w:val="3DA83401"/>
    <w:rsid w:val="3DB37034"/>
    <w:rsid w:val="3DB84534"/>
    <w:rsid w:val="3DC11F20"/>
    <w:rsid w:val="3DD51A7B"/>
    <w:rsid w:val="3DD86A9B"/>
    <w:rsid w:val="3DE90CA8"/>
    <w:rsid w:val="3DF02037"/>
    <w:rsid w:val="3E03620E"/>
    <w:rsid w:val="3E135D25"/>
    <w:rsid w:val="3E214783"/>
    <w:rsid w:val="3E257275"/>
    <w:rsid w:val="3E3E7990"/>
    <w:rsid w:val="3E4928E7"/>
    <w:rsid w:val="3E5000D2"/>
    <w:rsid w:val="3E590DA0"/>
    <w:rsid w:val="3E642A25"/>
    <w:rsid w:val="3E75078E"/>
    <w:rsid w:val="3E8C3C28"/>
    <w:rsid w:val="3EE17BD1"/>
    <w:rsid w:val="3EF47905"/>
    <w:rsid w:val="3F285800"/>
    <w:rsid w:val="3F333005"/>
    <w:rsid w:val="3F4E6A40"/>
    <w:rsid w:val="3F566811"/>
    <w:rsid w:val="3F5C6F82"/>
    <w:rsid w:val="3F662C39"/>
    <w:rsid w:val="3F793BFB"/>
    <w:rsid w:val="3F8C2233"/>
    <w:rsid w:val="3F94388D"/>
    <w:rsid w:val="3FB4352E"/>
    <w:rsid w:val="3FB63D7C"/>
    <w:rsid w:val="3FCA68B7"/>
    <w:rsid w:val="3FCD2498"/>
    <w:rsid w:val="3FD339BE"/>
    <w:rsid w:val="3FF37BBC"/>
    <w:rsid w:val="3FFF47B3"/>
    <w:rsid w:val="40444B22"/>
    <w:rsid w:val="40445977"/>
    <w:rsid w:val="40457CE4"/>
    <w:rsid w:val="40544572"/>
    <w:rsid w:val="40546965"/>
    <w:rsid w:val="40554DD4"/>
    <w:rsid w:val="405A40DF"/>
    <w:rsid w:val="4061546E"/>
    <w:rsid w:val="4084115C"/>
    <w:rsid w:val="409B4E32"/>
    <w:rsid w:val="40A92971"/>
    <w:rsid w:val="40B8061A"/>
    <w:rsid w:val="40D20C01"/>
    <w:rsid w:val="412A2C1A"/>
    <w:rsid w:val="412F10C8"/>
    <w:rsid w:val="41456B3D"/>
    <w:rsid w:val="414B5911"/>
    <w:rsid w:val="4179689E"/>
    <w:rsid w:val="41797C42"/>
    <w:rsid w:val="417B255F"/>
    <w:rsid w:val="417D58A9"/>
    <w:rsid w:val="417F0B65"/>
    <w:rsid w:val="41852181"/>
    <w:rsid w:val="41970A1B"/>
    <w:rsid w:val="41C61CBC"/>
    <w:rsid w:val="41CC6917"/>
    <w:rsid w:val="41D10522"/>
    <w:rsid w:val="420267DC"/>
    <w:rsid w:val="42075BA1"/>
    <w:rsid w:val="42097B6B"/>
    <w:rsid w:val="421556B7"/>
    <w:rsid w:val="421B164C"/>
    <w:rsid w:val="4222234E"/>
    <w:rsid w:val="42331494"/>
    <w:rsid w:val="42380450"/>
    <w:rsid w:val="423A5352"/>
    <w:rsid w:val="425B6370"/>
    <w:rsid w:val="4266495D"/>
    <w:rsid w:val="427174BE"/>
    <w:rsid w:val="428A020E"/>
    <w:rsid w:val="428E0070"/>
    <w:rsid w:val="42927B60"/>
    <w:rsid w:val="42A41642"/>
    <w:rsid w:val="42A45AE6"/>
    <w:rsid w:val="42B707FA"/>
    <w:rsid w:val="42D01DE6"/>
    <w:rsid w:val="42D21976"/>
    <w:rsid w:val="42ED123B"/>
    <w:rsid w:val="42F21EC2"/>
    <w:rsid w:val="42FE0076"/>
    <w:rsid w:val="430646E0"/>
    <w:rsid w:val="431076D0"/>
    <w:rsid w:val="432171B5"/>
    <w:rsid w:val="43362BE2"/>
    <w:rsid w:val="434A043B"/>
    <w:rsid w:val="4367430C"/>
    <w:rsid w:val="436A2C23"/>
    <w:rsid w:val="437329A2"/>
    <w:rsid w:val="43784FA8"/>
    <w:rsid w:val="4379673A"/>
    <w:rsid w:val="437F4D8A"/>
    <w:rsid w:val="438751EB"/>
    <w:rsid w:val="439C056B"/>
    <w:rsid w:val="43B6787E"/>
    <w:rsid w:val="43B835F7"/>
    <w:rsid w:val="43C024AB"/>
    <w:rsid w:val="43C5036C"/>
    <w:rsid w:val="43CF4640"/>
    <w:rsid w:val="43E643B8"/>
    <w:rsid w:val="43EC14F2"/>
    <w:rsid w:val="43F07800"/>
    <w:rsid w:val="44250560"/>
    <w:rsid w:val="442548A8"/>
    <w:rsid w:val="442742D8"/>
    <w:rsid w:val="442E38B9"/>
    <w:rsid w:val="443855B1"/>
    <w:rsid w:val="4447497A"/>
    <w:rsid w:val="444C1F91"/>
    <w:rsid w:val="446B5898"/>
    <w:rsid w:val="447C0F86"/>
    <w:rsid w:val="449851D6"/>
    <w:rsid w:val="44A6065D"/>
    <w:rsid w:val="44AA6989"/>
    <w:rsid w:val="44AC4F7D"/>
    <w:rsid w:val="44B264F0"/>
    <w:rsid w:val="44B738AE"/>
    <w:rsid w:val="44C23C81"/>
    <w:rsid w:val="44C647F4"/>
    <w:rsid w:val="44C757E3"/>
    <w:rsid w:val="44D73F50"/>
    <w:rsid w:val="44E35A2E"/>
    <w:rsid w:val="44E87F0C"/>
    <w:rsid w:val="44EF1F96"/>
    <w:rsid w:val="45045743"/>
    <w:rsid w:val="45076621"/>
    <w:rsid w:val="450D4F16"/>
    <w:rsid w:val="4510761C"/>
    <w:rsid w:val="452847AC"/>
    <w:rsid w:val="45332224"/>
    <w:rsid w:val="45344EFF"/>
    <w:rsid w:val="453F2037"/>
    <w:rsid w:val="45594965"/>
    <w:rsid w:val="456D6663"/>
    <w:rsid w:val="4570707E"/>
    <w:rsid w:val="4578267F"/>
    <w:rsid w:val="4584253C"/>
    <w:rsid w:val="45912351"/>
    <w:rsid w:val="459C69D7"/>
    <w:rsid w:val="45D87F80"/>
    <w:rsid w:val="45EA0C71"/>
    <w:rsid w:val="45FD1985"/>
    <w:rsid w:val="460370D5"/>
    <w:rsid w:val="462C3A2D"/>
    <w:rsid w:val="462D194E"/>
    <w:rsid w:val="4651096A"/>
    <w:rsid w:val="4658527B"/>
    <w:rsid w:val="465E6ECF"/>
    <w:rsid w:val="46742B27"/>
    <w:rsid w:val="46777B9E"/>
    <w:rsid w:val="467C4DAF"/>
    <w:rsid w:val="46821C9A"/>
    <w:rsid w:val="46935C55"/>
    <w:rsid w:val="46955E71"/>
    <w:rsid w:val="469817DD"/>
    <w:rsid w:val="469D736F"/>
    <w:rsid w:val="46B20DC2"/>
    <w:rsid w:val="46BC3FB1"/>
    <w:rsid w:val="46D70238"/>
    <w:rsid w:val="46DA1AD6"/>
    <w:rsid w:val="46E71942"/>
    <w:rsid w:val="46F25071"/>
    <w:rsid w:val="46F661E4"/>
    <w:rsid w:val="46F72E76"/>
    <w:rsid w:val="46F9684D"/>
    <w:rsid w:val="46FA2178"/>
    <w:rsid w:val="471A45C8"/>
    <w:rsid w:val="471A6376"/>
    <w:rsid w:val="471C3E9C"/>
    <w:rsid w:val="472646CB"/>
    <w:rsid w:val="472D7E58"/>
    <w:rsid w:val="472F1E22"/>
    <w:rsid w:val="474156B1"/>
    <w:rsid w:val="47495932"/>
    <w:rsid w:val="474B4782"/>
    <w:rsid w:val="474E0291"/>
    <w:rsid w:val="47521B0E"/>
    <w:rsid w:val="4766738F"/>
    <w:rsid w:val="47687301"/>
    <w:rsid w:val="47971775"/>
    <w:rsid w:val="479A5599"/>
    <w:rsid w:val="479B1265"/>
    <w:rsid w:val="479C4FDD"/>
    <w:rsid w:val="479C6D8B"/>
    <w:rsid w:val="47A13146"/>
    <w:rsid w:val="47A73CBB"/>
    <w:rsid w:val="47A84F96"/>
    <w:rsid w:val="47B96BB5"/>
    <w:rsid w:val="47C044A4"/>
    <w:rsid w:val="47C3256A"/>
    <w:rsid w:val="47D6229D"/>
    <w:rsid w:val="47D93B3C"/>
    <w:rsid w:val="480D769C"/>
    <w:rsid w:val="48272AF9"/>
    <w:rsid w:val="483376F0"/>
    <w:rsid w:val="48380E77"/>
    <w:rsid w:val="483823D0"/>
    <w:rsid w:val="484A67E7"/>
    <w:rsid w:val="484D0086"/>
    <w:rsid w:val="48580F04"/>
    <w:rsid w:val="486E697A"/>
    <w:rsid w:val="487E7BC4"/>
    <w:rsid w:val="488E4926"/>
    <w:rsid w:val="488F6E02"/>
    <w:rsid w:val="48AC15C2"/>
    <w:rsid w:val="48B9571B"/>
    <w:rsid w:val="48C26D11"/>
    <w:rsid w:val="48CF0CC5"/>
    <w:rsid w:val="48E1539E"/>
    <w:rsid w:val="48F21359"/>
    <w:rsid w:val="49075334"/>
    <w:rsid w:val="491F5EC6"/>
    <w:rsid w:val="4924150C"/>
    <w:rsid w:val="492E6109"/>
    <w:rsid w:val="4932281A"/>
    <w:rsid w:val="493D00FA"/>
    <w:rsid w:val="498674B9"/>
    <w:rsid w:val="49A50548"/>
    <w:rsid w:val="49C445A1"/>
    <w:rsid w:val="49C4674C"/>
    <w:rsid w:val="49C83E68"/>
    <w:rsid w:val="49C97B1D"/>
    <w:rsid w:val="49D337A0"/>
    <w:rsid w:val="49D3791F"/>
    <w:rsid w:val="49D81758"/>
    <w:rsid w:val="49DB76F2"/>
    <w:rsid w:val="49F11BF3"/>
    <w:rsid w:val="49FB5FAA"/>
    <w:rsid w:val="4A095630"/>
    <w:rsid w:val="4A0E055A"/>
    <w:rsid w:val="4A267754"/>
    <w:rsid w:val="4A435BE4"/>
    <w:rsid w:val="4A59507B"/>
    <w:rsid w:val="4A914BA1"/>
    <w:rsid w:val="4AA12BFC"/>
    <w:rsid w:val="4AA8504D"/>
    <w:rsid w:val="4ABC205B"/>
    <w:rsid w:val="4ABD5996"/>
    <w:rsid w:val="4AD54A8E"/>
    <w:rsid w:val="4AE051E1"/>
    <w:rsid w:val="4AEC002A"/>
    <w:rsid w:val="4AF13892"/>
    <w:rsid w:val="4AFD5D93"/>
    <w:rsid w:val="4AFD69AE"/>
    <w:rsid w:val="4B014D24"/>
    <w:rsid w:val="4B0B4954"/>
    <w:rsid w:val="4B0C61BF"/>
    <w:rsid w:val="4B187071"/>
    <w:rsid w:val="4B2E50E0"/>
    <w:rsid w:val="4B354775"/>
    <w:rsid w:val="4B392F65"/>
    <w:rsid w:val="4B4C086D"/>
    <w:rsid w:val="4B4D5A2E"/>
    <w:rsid w:val="4B517E8D"/>
    <w:rsid w:val="4B631A61"/>
    <w:rsid w:val="4B865D88"/>
    <w:rsid w:val="4B9A66C0"/>
    <w:rsid w:val="4BA250EF"/>
    <w:rsid w:val="4BB449C0"/>
    <w:rsid w:val="4BB46D99"/>
    <w:rsid w:val="4BB5666E"/>
    <w:rsid w:val="4BB943B0"/>
    <w:rsid w:val="4BC108B4"/>
    <w:rsid w:val="4BC114B6"/>
    <w:rsid w:val="4BDC1E4C"/>
    <w:rsid w:val="4C154208"/>
    <w:rsid w:val="4C1635B0"/>
    <w:rsid w:val="4C1B1570"/>
    <w:rsid w:val="4C213D03"/>
    <w:rsid w:val="4C33179E"/>
    <w:rsid w:val="4C340BB3"/>
    <w:rsid w:val="4C3457E4"/>
    <w:rsid w:val="4C3F7C92"/>
    <w:rsid w:val="4C510140"/>
    <w:rsid w:val="4C55744C"/>
    <w:rsid w:val="4C6651BB"/>
    <w:rsid w:val="4C9238B2"/>
    <w:rsid w:val="4C986C21"/>
    <w:rsid w:val="4CA010CC"/>
    <w:rsid w:val="4CA32907"/>
    <w:rsid w:val="4CA5797A"/>
    <w:rsid w:val="4CA95044"/>
    <w:rsid w:val="4CB93F3C"/>
    <w:rsid w:val="4CC02E3A"/>
    <w:rsid w:val="4CD5715E"/>
    <w:rsid w:val="4D0619FF"/>
    <w:rsid w:val="4D1473C4"/>
    <w:rsid w:val="4D2717ED"/>
    <w:rsid w:val="4D304E22"/>
    <w:rsid w:val="4D3A1520"/>
    <w:rsid w:val="4D3C7046"/>
    <w:rsid w:val="4D404EC6"/>
    <w:rsid w:val="4D422183"/>
    <w:rsid w:val="4D5F159B"/>
    <w:rsid w:val="4D6C0FAE"/>
    <w:rsid w:val="4D8971D6"/>
    <w:rsid w:val="4D8A1E27"/>
    <w:rsid w:val="4D8D29C9"/>
    <w:rsid w:val="4D994E08"/>
    <w:rsid w:val="4DA95875"/>
    <w:rsid w:val="4DB911F4"/>
    <w:rsid w:val="4DBE0454"/>
    <w:rsid w:val="4DCC6879"/>
    <w:rsid w:val="4DE4323A"/>
    <w:rsid w:val="4DE75A33"/>
    <w:rsid w:val="4DFF01DA"/>
    <w:rsid w:val="4E0631B0"/>
    <w:rsid w:val="4E1A6EFE"/>
    <w:rsid w:val="4E2A4C8D"/>
    <w:rsid w:val="4E3008AC"/>
    <w:rsid w:val="4E4A29CE"/>
    <w:rsid w:val="4E4F7045"/>
    <w:rsid w:val="4E720529"/>
    <w:rsid w:val="4E9751BE"/>
    <w:rsid w:val="4EA50C1B"/>
    <w:rsid w:val="4EB26E94"/>
    <w:rsid w:val="4EB91284"/>
    <w:rsid w:val="4EBF7714"/>
    <w:rsid w:val="4EC233BC"/>
    <w:rsid w:val="4EDF237F"/>
    <w:rsid w:val="4EE72FE2"/>
    <w:rsid w:val="4EFB506E"/>
    <w:rsid w:val="4EFF5B7A"/>
    <w:rsid w:val="4F121247"/>
    <w:rsid w:val="4F192763"/>
    <w:rsid w:val="4F1A23F8"/>
    <w:rsid w:val="4F293FD1"/>
    <w:rsid w:val="4F3B50DC"/>
    <w:rsid w:val="4F5573BE"/>
    <w:rsid w:val="4F566000"/>
    <w:rsid w:val="4F5D49DE"/>
    <w:rsid w:val="4F5E6D17"/>
    <w:rsid w:val="4F786B55"/>
    <w:rsid w:val="4F7903EF"/>
    <w:rsid w:val="4F824AB9"/>
    <w:rsid w:val="4F870321"/>
    <w:rsid w:val="4F8E345D"/>
    <w:rsid w:val="4FAA4D48"/>
    <w:rsid w:val="4FBF5290"/>
    <w:rsid w:val="4FCB46B2"/>
    <w:rsid w:val="4FE31995"/>
    <w:rsid w:val="50026E59"/>
    <w:rsid w:val="501E71EF"/>
    <w:rsid w:val="50243DC2"/>
    <w:rsid w:val="50250266"/>
    <w:rsid w:val="502E1045"/>
    <w:rsid w:val="506568B4"/>
    <w:rsid w:val="506718B7"/>
    <w:rsid w:val="50681F00"/>
    <w:rsid w:val="506D338D"/>
    <w:rsid w:val="508514F8"/>
    <w:rsid w:val="508F3931"/>
    <w:rsid w:val="509E6DA8"/>
    <w:rsid w:val="50A32F39"/>
    <w:rsid w:val="50B213CE"/>
    <w:rsid w:val="50B2560B"/>
    <w:rsid w:val="50B471F7"/>
    <w:rsid w:val="50BB2978"/>
    <w:rsid w:val="50BC224C"/>
    <w:rsid w:val="50C17863"/>
    <w:rsid w:val="50C335DB"/>
    <w:rsid w:val="50CC68F4"/>
    <w:rsid w:val="50DB5F0B"/>
    <w:rsid w:val="50DF45F3"/>
    <w:rsid w:val="50F47C38"/>
    <w:rsid w:val="50F74F9E"/>
    <w:rsid w:val="510023C8"/>
    <w:rsid w:val="510254CA"/>
    <w:rsid w:val="510C5F03"/>
    <w:rsid w:val="51112598"/>
    <w:rsid w:val="514644B4"/>
    <w:rsid w:val="51594625"/>
    <w:rsid w:val="515E71A4"/>
    <w:rsid w:val="51624BA2"/>
    <w:rsid w:val="5167452D"/>
    <w:rsid w:val="517B3EB5"/>
    <w:rsid w:val="518A6DD5"/>
    <w:rsid w:val="518B5EBC"/>
    <w:rsid w:val="51B269D5"/>
    <w:rsid w:val="51C847D3"/>
    <w:rsid w:val="51CB6BEB"/>
    <w:rsid w:val="51D84E64"/>
    <w:rsid w:val="51EF3AF8"/>
    <w:rsid w:val="52181704"/>
    <w:rsid w:val="521C7FFB"/>
    <w:rsid w:val="52306A4E"/>
    <w:rsid w:val="52374280"/>
    <w:rsid w:val="526D6413"/>
    <w:rsid w:val="528D00BF"/>
    <w:rsid w:val="52997E0A"/>
    <w:rsid w:val="529B3E7E"/>
    <w:rsid w:val="52BB6C5F"/>
    <w:rsid w:val="52CD6993"/>
    <w:rsid w:val="52F12681"/>
    <w:rsid w:val="5311687F"/>
    <w:rsid w:val="532742F5"/>
    <w:rsid w:val="53361382"/>
    <w:rsid w:val="53426F82"/>
    <w:rsid w:val="534704F3"/>
    <w:rsid w:val="537C341E"/>
    <w:rsid w:val="5394300C"/>
    <w:rsid w:val="53954603"/>
    <w:rsid w:val="53961E84"/>
    <w:rsid w:val="539E3289"/>
    <w:rsid w:val="53B35B89"/>
    <w:rsid w:val="53BD44F8"/>
    <w:rsid w:val="53C102A5"/>
    <w:rsid w:val="53C71634"/>
    <w:rsid w:val="53D130B9"/>
    <w:rsid w:val="53D578AD"/>
    <w:rsid w:val="53D8739D"/>
    <w:rsid w:val="53E53868"/>
    <w:rsid w:val="53E615EB"/>
    <w:rsid w:val="53FD4237"/>
    <w:rsid w:val="540422AE"/>
    <w:rsid w:val="54072224"/>
    <w:rsid w:val="540C7DCC"/>
    <w:rsid w:val="540E2DBF"/>
    <w:rsid w:val="54117C43"/>
    <w:rsid w:val="541E67E5"/>
    <w:rsid w:val="54280ECF"/>
    <w:rsid w:val="543D3ED6"/>
    <w:rsid w:val="5449029B"/>
    <w:rsid w:val="544B4013"/>
    <w:rsid w:val="54512E7F"/>
    <w:rsid w:val="5455279C"/>
    <w:rsid w:val="545E7E57"/>
    <w:rsid w:val="54715AEA"/>
    <w:rsid w:val="549635BC"/>
    <w:rsid w:val="549E2194"/>
    <w:rsid w:val="54A83213"/>
    <w:rsid w:val="54B01506"/>
    <w:rsid w:val="54D062C6"/>
    <w:rsid w:val="54D73AF9"/>
    <w:rsid w:val="54E53F02"/>
    <w:rsid w:val="54FE1085"/>
    <w:rsid w:val="54FF095A"/>
    <w:rsid w:val="550126F3"/>
    <w:rsid w:val="55065E9B"/>
    <w:rsid w:val="550804D7"/>
    <w:rsid w:val="55083F5C"/>
    <w:rsid w:val="55090897"/>
    <w:rsid w:val="550A17D8"/>
    <w:rsid w:val="550D751A"/>
    <w:rsid w:val="55207A5F"/>
    <w:rsid w:val="5568601F"/>
    <w:rsid w:val="55774994"/>
    <w:rsid w:val="558E065B"/>
    <w:rsid w:val="558E52F0"/>
    <w:rsid w:val="55900181"/>
    <w:rsid w:val="55917DD5"/>
    <w:rsid w:val="55A25378"/>
    <w:rsid w:val="55B95303"/>
    <w:rsid w:val="55C3429A"/>
    <w:rsid w:val="55CB6554"/>
    <w:rsid w:val="55D20D60"/>
    <w:rsid w:val="55D32E9F"/>
    <w:rsid w:val="55D923DF"/>
    <w:rsid w:val="55E74FF6"/>
    <w:rsid w:val="55E95892"/>
    <w:rsid w:val="56042928"/>
    <w:rsid w:val="561D5ED7"/>
    <w:rsid w:val="564B416B"/>
    <w:rsid w:val="56533F5A"/>
    <w:rsid w:val="565D002E"/>
    <w:rsid w:val="56603C8D"/>
    <w:rsid w:val="56666EE2"/>
    <w:rsid w:val="56725887"/>
    <w:rsid w:val="567F7FA4"/>
    <w:rsid w:val="56813D1C"/>
    <w:rsid w:val="568315AE"/>
    <w:rsid w:val="569069B5"/>
    <w:rsid w:val="569B2137"/>
    <w:rsid w:val="56A254D7"/>
    <w:rsid w:val="56B066E6"/>
    <w:rsid w:val="56B67E04"/>
    <w:rsid w:val="56D976B4"/>
    <w:rsid w:val="56E524FD"/>
    <w:rsid w:val="56E91E6C"/>
    <w:rsid w:val="56EF512A"/>
    <w:rsid w:val="56FA762A"/>
    <w:rsid w:val="570375C9"/>
    <w:rsid w:val="57214D3F"/>
    <w:rsid w:val="572C0D5C"/>
    <w:rsid w:val="573A176E"/>
    <w:rsid w:val="574F7BAD"/>
    <w:rsid w:val="57544F8D"/>
    <w:rsid w:val="57566F57"/>
    <w:rsid w:val="57580F21"/>
    <w:rsid w:val="57672F12"/>
    <w:rsid w:val="576F626A"/>
    <w:rsid w:val="57763155"/>
    <w:rsid w:val="577B69BD"/>
    <w:rsid w:val="57835872"/>
    <w:rsid w:val="578879ED"/>
    <w:rsid w:val="57893893"/>
    <w:rsid w:val="5789732C"/>
    <w:rsid w:val="578D049F"/>
    <w:rsid w:val="5798301E"/>
    <w:rsid w:val="57994519"/>
    <w:rsid w:val="57B16F91"/>
    <w:rsid w:val="57C245EC"/>
    <w:rsid w:val="57CF0DF2"/>
    <w:rsid w:val="57D4431F"/>
    <w:rsid w:val="57D56238"/>
    <w:rsid w:val="57EF4CB5"/>
    <w:rsid w:val="58006EC2"/>
    <w:rsid w:val="58234B0E"/>
    <w:rsid w:val="5846521D"/>
    <w:rsid w:val="58474AF1"/>
    <w:rsid w:val="584F7295"/>
    <w:rsid w:val="5863034B"/>
    <w:rsid w:val="5888724A"/>
    <w:rsid w:val="589917F1"/>
    <w:rsid w:val="58AE63FA"/>
    <w:rsid w:val="58B71C77"/>
    <w:rsid w:val="58B93F14"/>
    <w:rsid w:val="58E4759A"/>
    <w:rsid w:val="590429E2"/>
    <w:rsid w:val="59080725"/>
    <w:rsid w:val="590C1717"/>
    <w:rsid w:val="59162E8C"/>
    <w:rsid w:val="59262959"/>
    <w:rsid w:val="59367040"/>
    <w:rsid w:val="59487A92"/>
    <w:rsid w:val="595630FC"/>
    <w:rsid w:val="595B4438"/>
    <w:rsid w:val="59653481"/>
    <w:rsid w:val="596545F4"/>
    <w:rsid w:val="596D09B6"/>
    <w:rsid w:val="597F7976"/>
    <w:rsid w:val="59846BF5"/>
    <w:rsid w:val="59861649"/>
    <w:rsid w:val="599C17F3"/>
    <w:rsid w:val="599E4A6B"/>
    <w:rsid w:val="59A3044D"/>
    <w:rsid w:val="59A65848"/>
    <w:rsid w:val="59C363FA"/>
    <w:rsid w:val="59C72A09"/>
    <w:rsid w:val="59CC01B7"/>
    <w:rsid w:val="59D50EFB"/>
    <w:rsid w:val="59E40E01"/>
    <w:rsid w:val="59EC76FE"/>
    <w:rsid w:val="59F842F5"/>
    <w:rsid w:val="59FF6B39"/>
    <w:rsid w:val="59FF791E"/>
    <w:rsid w:val="5A051ED8"/>
    <w:rsid w:val="5A0E630B"/>
    <w:rsid w:val="5A287271"/>
    <w:rsid w:val="5A33357F"/>
    <w:rsid w:val="5A427C66"/>
    <w:rsid w:val="5A584D94"/>
    <w:rsid w:val="5A7303A1"/>
    <w:rsid w:val="5A823385"/>
    <w:rsid w:val="5ABA5A4E"/>
    <w:rsid w:val="5ACE5056"/>
    <w:rsid w:val="5AE74E5C"/>
    <w:rsid w:val="5AE96334"/>
    <w:rsid w:val="5B0D2022"/>
    <w:rsid w:val="5B0E18F6"/>
    <w:rsid w:val="5B175761"/>
    <w:rsid w:val="5B23704C"/>
    <w:rsid w:val="5B412E93"/>
    <w:rsid w:val="5B9A79D9"/>
    <w:rsid w:val="5B9E0ECC"/>
    <w:rsid w:val="5BB719F9"/>
    <w:rsid w:val="5BBD517E"/>
    <w:rsid w:val="5BC62E14"/>
    <w:rsid w:val="5BCD355F"/>
    <w:rsid w:val="5BDF50D7"/>
    <w:rsid w:val="5BFF1FE5"/>
    <w:rsid w:val="5C1F61D9"/>
    <w:rsid w:val="5C24139D"/>
    <w:rsid w:val="5C3C47F7"/>
    <w:rsid w:val="5C494539"/>
    <w:rsid w:val="5C4A4BB0"/>
    <w:rsid w:val="5C6E4D42"/>
    <w:rsid w:val="5C6F4617"/>
    <w:rsid w:val="5C7834CB"/>
    <w:rsid w:val="5C7D66E9"/>
    <w:rsid w:val="5C81040B"/>
    <w:rsid w:val="5C841E70"/>
    <w:rsid w:val="5C906A3F"/>
    <w:rsid w:val="5CAB5141"/>
    <w:rsid w:val="5CB059DC"/>
    <w:rsid w:val="5CBC52BF"/>
    <w:rsid w:val="5CC75CDF"/>
    <w:rsid w:val="5CD85C06"/>
    <w:rsid w:val="5CE84AF5"/>
    <w:rsid w:val="5CEB0AAB"/>
    <w:rsid w:val="5CF70B75"/>
    <w:rsid w:val="5CFE60C6"/>
    <w:rsid w:val="5D114059"/>
    <w:rsid w:val="5D181FF6"/>
    <w:rsid w:val="5D1C3923"/>
    <w:rsid w:val="5D1D33E8"/>
    <w:rsid w:val="5D222C84"/>
    <w:rsid w:val="5D431D2B"/>
    <w:rsid w:val="5D557CB0"/>
    <w:rsid w:val="5D563694"/>
    <w:rsid w:val="5D5660BF"/>
    <w:rsid w:val="5D713536"/>
    <w:rsid w:val="5D7869AF"/>
    <w:rsid w:val="5DAA7FFC"/>
    <w:rsid w:val="5DBF2285"/>
    <w:rsid w:val="5DC34C1A"/>
    <w:rsid w:val="5DE27796"/>
    <w:rsid w:val="5DEE02FC"/>
    <w:rsid w:val="5DF04D67"/>
    <w:rsid w:val="5DF06803"/>
    <w:rsid w:val="5DF5426D"/>
    <w:rsid w:val="5DFA0137"/>
    <w:rsid w:val="5E084D23"/>
    <w:rsid w:val="5E135BA1"/>
    <w:rsid w:val="5E172DBF"/>
    <w:rsid w:val="5E196F30"/>
    <w:rsid w:val="5E1E45C6"/>
    <w:rsid w:val="5E206043"/>
    <w:rsid w:val="5E341674"/>
    <w:rsid w:val="5E370D27"/>
    <w:rsid w:val="5E3924AE"/>
    <w:rsid w:val="5E3D59D6"/>
    <w:rsid w:val="5E5F7F58"/>
    <w:rsid w:val="5E6C52B2"/>
    <w:rsid w:val="5E7434F8"/>
    <w:rsid w:val="5E77125A"/>
    <w:rsid w:val="5E7E33FE"/>
    <w:rsid w:val="5E7E6F41"/>
    <w:rsid w:val="5E8E6FD6"/>
    <w:rsid w:val="5EAE58CA"/>
    <w:rsid w:val="5EB56C59"/>
    <w:rsid w:val="5EBD5B0D"/>
    <w:rsid w:val="5ED656F0"/>
    <w:rsid w:val="5EDF4829"/>
    <w:rsid w:val="5EE035AA"/>
    <w:rsid w:val="5EE61D7E"/>
    <w:rsid w:val="5EEF1CDA"/>
    <w:rsid w:val="5EFA466C"/>
    <w:rsid w:val="5EFE107F"/>
    <w:rsid w:val="5F0C25F1"/>
    <w:rsid w:val="5F1243E9"/>
    <w:rsid w:val="5F125E59"/>
    <w:rsid w:val="5F1C0A86"/>
    <w:rsid w:val="5F304531"/>
    <w:rsid w:val="5F3833E6"/>
    <w:rsid w:val="5F453BDB"/>
    <w:rsid w:val="5F562317"/>
    <w:rsid w:val="5F6669D5"/>
    <w:rsid w:val="5F6D12E1"/>
    <w:rsid w:val="5F750196"/>
    <w:rsid w:val="5F824E74"/>
    <w:rsid w:val="5F887EC9"/>
    <w:rsid w:val="5F8A3248"/>
    <w:rsid w:val="5F93061C"/>
    <w:rsid w:val="5F93686E"/>
    <w:rsid w:val="5FB011CE"/>
    <w:rsid w:val="5FD37803"/>
    <w:rsid w:val="5FDB78E5"/>
    <w:rsid w:val="5FFA1A80"/>
    <w:rsid w:val="5FFB4236"/>
    <w:rsid w:val="600F690F"/>
    <w:rsid w:val="6042451C"/>
    <w:rsid w:val="604364E6"/>
    <w:rsid w:val="604C539B"/>
    <w:rsid w:val="60591866"/>
    <w:rsid w:val="60593614"/>
    <w:rsid w:val="605E50CE"/>
    <w:rsid w:val="60617557"/>
    <w:rsid w:val="607448F1"/>
    <w:rsid w:val="607D065B"/>
    <w:rsid w:val="60883EF9"/>
    <w:rsid w:val="608C0C1C"/>
    <w:rsid w:val="60904C00"/>
    <w:rsid w:val="60A26D69"/>
    <w:rsid w:val="60AA5BD3"/>
    <w:rsid w:val="60B30F76"/>
    <w:rsid w:val="60BB25C3"/>
    <w:rsid w:val="60BF3DBF"/>
    <w:rsid w:val="60C5514D"/>
    <w:rsid w:val="60CE4002"/>
    <w:rsid w:val="60D876E9"/>
    <w:rsid w:val="60DF1D6B"/>
    <w:rsid w:val="60E37B05"/>
    <w:rsid w:val="60E94998"/>
    <w:rsid w:val="60EC038A"/>
    <w:rsid w:val="6101018C"/>
    <w:rsid w:val="611D2893"/>
    <w:rsid w:val="611F5489"/>
    <w:rsid w:val="612135A9"/>
    <w:rsid w:val="61217725"/>
    <w:rsid w:val="61270370"/>
    <w:rsid w:val="61333E65"/>
    <w:rsid w:val="613D4B85"/>
    <w:rsid w:val="61412A26"/>
    <w:rsid w:val="6146003C"/>
    <w:rsid w:val="61502C69"/>
    <w:rsid w:val="61532759"/>
    <w:rsid w:val="6162474A"/>
    <w:rsid w:val="6172193C"/>
    <w:rsid w:val="61844A98"/>
    <w:rsid w:val="618B52DC"/>
    <w:rsid w:val="618E3791"/>
    <w:rsid w:val="61920962"/>
    <w:rsid w:val="619568CD"/>
    <w:rsid w:val="61A91612"/>
    <w:rsid w:val="61A95302"/>
    <w:rsid w:val="61B168E6"/>
    <w:rsid w:val="61BE003D"/>
    <w:rsid w:val="61DE0274"/>
    <w:rsid w:val="61F7150F"/>
    <w:rsid w:val="61F77588"/>
    <w:rsid w:val="62013F63"/>
    <w:rsid w:val="62066A55"/>
    <w:rsid w:val="62286C52"/>
    <w:rsid w:val="62332990"/>
    <w:rsid w:val="62353C0D"/>
    <w:rsid w:val="62487793"/>
    <w:rsid w:val="6267026A"/>
    <w:rsid w:val="626B2A2A"/>
    <w:rsid w:val="62724528"/>
    <w:rsid w:val="62733A98"/>
    <w:rsid w:val="6276028F"/>
    <w:rsid w:val="6280757E"/>
    <w:rsid w:val="62980234"/>
    <w:rsid w:val="62BF1D86"/>
    <w:rsid w:val="62D47DDC"/>
    <w:rsid w:val="62F13654"/>
    <w:rsid w:val="63071A4D"/>
    <w:rsid w:val="63144DBA"/>
    <w:rsid w:val="631F3D7B"/>
    <w:rsid w:val="63312626"/>
    <w:rsid w:val="63326211"/>
    <w:rsid w:val="636447A9"/>
    <w:rsid w:val="63676048"/>
    <w:rsid w:val="6373359C"/>
    <w:rsid w:val="63805640"/>
    <w:rsid w:val="638D1F52"/>
    <w:rsid w:val="639F3A33"/>
    <w:rsid w:val="63BC6393"/>
    <w:rsid w:val="63F7027E"/>
    <w:rsid w:val="64142104"/>
    <w:rsid w:val="6418785F"/>
    <w:rsid w:val="641C6E32"/>
    <w:rsid w:val="64224F28"/>
    <w:rsid w:val="6447573E"/>
    <w:rsid w:val="6449399F"/>
    <w:rsid w:val="645B2050"/>
    <w:rsid w:val="645B44AA"/>
    <w:rsid w:val="64654C7D"/>
    <w:rsid w:val="64654FB0"/>
    <w:rsid w:val="647903E1"/>
    <w:rsid w:val="648B3199"/>
    <w:rsid w:val="64986BCD"/>
    <w:rsid w:val="64A10CEF"/>
    <w:rsid w:val="64A62BA0"/>
    <w:rsid w:val="64AD03D2"/>
    <w:rsid w:val="64B73164"/>
    <w:rsid w:val="64D37E39"/>
    <w:rsid w:val="64D92F75"/>
    <w:rsid w:val="64E01E75"/>
    <w:rsid w:val="650A1380"/>
    <w:rsid w:val="650E528B"/>
    <w:rsid w:val="65143FAD"/>
    <w:rsid w:val="652A5B36"/>
    <w:rsid w:val="653964BC"/>
    <w:rsid w:val="6569460E"/>
    <w:rsid w:val="656B46CF"/>
    <w:rsid w:val="656F7435"/>
    <w:rsid w:val="6573529C"/>
    <w:rsid w:val="65797D27"/>
    <w:rsid w:val="65826BA0"/>
    <w:rsid w:val="65A01F78"/>
    <w:rsid w:val="65A2780B"/>
    <w:rsid w:val="65A823AD"/>
    <w:rsid w:val="65D5373C"/>
    <w:rsid w:val="65DF6369"/>
    <w:rsid w:val="660B3602"/>
    <w:rsid w:val="662446C4"/>
    <w:rsid w:val="66291CDA"/>
    <w:rsid w:val="664A36BB"/>
    <w:rsid w:val="664D11EC"/>
    <w:rsid w:val="66530A0F"/>
    <w:rsid w:val="665A1E94"/>
    <w:rsid w:val="665A5DC5"/>
    <w:rsid w:val="666D1BC7"/>
    <w:rsid w:val="667967BE"/>
    <w:rsid w:val="669272D6"/>
    <w:rsid w:val="66A7157D"/>
    <w:rsid w:val="66AA6977"/>
    <w:rsid w:val="66B9625D"/>
    <w:rsid w:val="66BE68C6"/>
    <w:rsid w:val="66CA288E"/>
    <w:rsid w:val="66D33382"/>
    <w:rsid w:val="66DD4308"/>
    <w:rsid w:val="66DD706B"/>
    <w:rsid w:val="66E3030C"/>
    <w:rsid w:val="66F95B50"/>
    <w:rsid w:val="67077707"/>
    <w:rsid w:val="673A73B1"/>
    <w:rsid w:val="6740552D"/>
    <w:rsid w:val="6744501E"/>
    <w:rsid w:val="6764746E"/>
    <w:rsid w:val="67791B28"/>
    <w:rsid w:val="677A47A5"/>
    <w:rsid w:val="678C2521"/>
    <w:rsid w:val="67A71109"/>
    <w:rsid w:val="67BC2E06"/>
    <w:rsid w:val="67BC4956"/>
    <w:rsid w:val="67BE4E07"/>
    <w:rsid w:val="67C312B5"/>
    <w:rsid w:val="67C95523"/>
    <w:rsid w:val="67CA4A29"/>
    <w:rsid w:val="67D50B14"/>
    <w:rsid w:val="67DF665A"/>
    <w:rsid w:val="67EE31DB"/>
    <w:rsid w:val="6813679E"/>
    <w:rsid w:val="683D13F8"/>
    <w:rsid w:val="683F7593"/>
    <w:rsid w:val="68476448"/>
    <w:rsid w:val="6865349E"/>
    <w:rsid w:val="687A03D1"/>
    <w:rsid w:val="687F2AFC"/>
    <w:rsid w:val="68997325"/>
    <w:rsid w:val="689C2C37"/>
    <w:rsid w:val="68B97345"/>
    <w:rsid w:val="68BC6E36"/>
    <w:rsid w:val="68D25E84"/>
    <w:rsid w:val="68D9617B"/>
    <w:rsid w:val="68E343C2"/>
    <w:rsid w:val="68EE3D08"/>
    <w:rsid w:val="68F16ADF"/>
    <w:rsid w:val="68F6059A"/>
    <w:rsid w:val="69407A67"/>
    <w:rsid w:val="694675AB"/>
    <w:rsid w:val="694766FF"/>
    <w:rsid w:val="694D7A8E"/>
    <w:rsid w:val="696929B9"/>
    <w:rsid w:val="69A04061"/>
    <w:rsid w:val="69B517AA"/>
    <w:rsid w:val="69B51B3F"/>
    <w:rsid w:val="69E55659"/>
    <w:rsid w:val="69FE0E72"/>
    <w:rsid w:val="6A116D0D"/>
    <w:rsid w:val="6A1E7827"/>
    <w:rsid w:val="6A246A40"/>
    <w:rsid w:val="6A411C5E"/>
    <w:rsid w:val="6A442A90"/>
    <w:rsid w:val="6A493EFC"/>
    <w:rsid w:val="6A4B09E3"/>
    <w:rsid w:val="6A4B221F"/>
    <w:rsid w:val="6A5C6B5E"/>
    <w:rsid w:val="6A662EBD"/>
    <w:rsid w:val="6A6C1BD1"/>
    <w:rsid w:val="6A6F5CE4"/>
    <w:rsid w:val="6A762B07"/>
    <w:rsid w:val="6A786D8C"/>
    <w:rsid w:val="6A8A71EB"/>
    <w:rsid w:val="6AAD4C88"/>
    <w:rsid w:val="6AB63450"/>
    <w:rsid w:val="6ABD15B4"/>
    <w:rsid w:val="6AC17707"/>
    <w:rsid w:val="6AC63F9C"/>
    <w:rsid w:val="6AD9782B"/>
    <w:rsid w:val="6ADE7537"/>
    <w:rsid w:val="6AE515C0"/>
    <w:rsid w:val="6B037C8C"/>
    <w:rsid w:val="6B0B7C00"/>
    <w:rsid w:val="6B0D07E2"/>
    <w:rsid w:val="6B2661ED"/>
    <w:rsid w:val="6B350E9F"/>
    <w:rsid w:val="6B3E3BC3"/>
    <w:rsid w:val="6B476531"/>
    <w:rsid w:val="6B594E10"/>
    <w:rsid w:val="6B6269C4"/>
    <w:rsid w:val="6B667313"/>
    <w:rsid w:val="6B6A0DCB"/>
    <w:rsid w:val="6B741C4A"/>
    <w:rsid w:val="6B826114"/>
    <w:rsid w:val="6B8A321B"/>
    <w:rsid w:val="6B8E792C"/>
    <w:rsid w:val="6B9145AA"/>
    <w:rsid w:val="6BA51E03"/>
    <w:rsid w:val="6BAC3191"/>
    <w:rsid w:val="6BAC54D7"/>
    <w:rsid w:val="6BD10E4A"/>
    <w:rsid w:val="6BD17BAE"/>
    <w:rsid w:val="6C0B18C7"/>
    <w:rsid w:val="6C4C59CB"/>
    <w:rsid w:val="6C5553FD"/>
    <w:rsid w:val="6C5C72E9"/>
    <w:rsid w:val="6C7E24CF"/>
    <w:rsid w:val="6C8B5F82"/>
    <w:rsid w:val="6C9500C9"/>
    <w:rsid w:val="6CBF5146"/>
    <w:rsid w:val="6CC87B57"/>
    <w:rsid w:val="6CCC5A02"/>
    <w:rsid w:val="6CD26C28"/>
    <w:rsid w:val="6CD930A1"/>
    <w:rsid w:val="6CDC2A73"/>
    <w:rsid w:val="6CF503DF"/>
    <w:rsid w:val="6D0A5218"/>
    <w:rsid w:val="6D1000FF"/>
    <w:rsid w:val="6D170ADE"/>
    <w:rsid w:val="6D1B78FA"/>
    <w:rsid w:val="6D2531FB"/>
    <w:rsid w:val="6D294A6F"/>
    <w:rsid w:val="6D2C27DC"/>
    <w:rsid w:val="6D3204BB"/>
    <w:rsid w:val="6D355F38"/>
    <w:rsid w:val="6D412683"/>
    <w:rsid w:val="6D443607"/>
    <w:rsid w:val="6D512242"/>
    <w:rsid w:val="6D5E2269"/>
    <w:rsid w:val="6D6261FE"/>
    <w:rsid w:val="6D68758C"/>
    <w:rsid w:val="6D6A50B2"/>
    <w:rsid w:val="6D705AC4"/>
    <w:rsid w:val="6D877A12"/>
    <w:rsid w:val="6D987164"/>
    <w:rsid w:val="6D9914F3"/>
    <w:rsid w:val="6D9F58BF"/>
    <w:rsid w:val="6DA30CAE"/>
    <w:rsid w:val="6DA85BDA"/>
    <w:rsid w:val="6DB0362D"/>
    <w:rsid w:val="6DB12070"/>
    <w:rsid w:val="6DBD739B"/>
    <w:rsid w:val="6DC5053A"/>
    <w:rsid w:val="6E0E5A3E"/>
    <w:rsid w:val="6E290AC9"/>
    <w:rsid w:val="6E4504C3"/>
    <w:rsid w:val="6E4759B4"/>
    <w:rsid w:val="6E4E6782"/>
    <w:rsid w:val="6E510020"/>
    <w:rsid w:val="6E6C6C08"/>
    <w:rsid w:val="6E7066F8"/>
    <w:rsid w:val="6E8757F0"/>
    <w:rsid w:val="6E970129"/>
    <w:rsid w:val="6E9A1306"/>
    <w:rsid w:val="6E9B4975"/>
    <w:rsid w:val="6EB67281"/>
    <w:rsid w:val="6EB81D12"/>
    <w:rsid w:val="6EBE0B4D"/>
    <w:rsid w:val="6EBE1382"/>
    <w:rsid w:val="6ECA5753"/>
    <w:rsid w:val="6ED948B5"/>
    <w:rsid w:val="6EE175F6"/>
    <w:rsid w:val="6EEA46FD"/>
    <w:rsid w:val="6F0357BE"/>
    <w:rsid w:val="6F0926A9"/>
    <w:rsid w:val="6F26497C"/>
    <w:rsid w:val="6F5D37D8"/>
    <w:rsid w:val="6F72024E"/>
    <w:rsid w:val="6F745D74"/>
    <w:rsid w:val="6F7B6F1E"/>
    <w:rsid w:val="6F7C183E"/>
    <w:rsid w:val="6F855C92"/>
    <w:rsid w:val="6F8A37EA"/>
    <w:rsid w:val="6F975F07"/>
    <w:rsid w:val="6FA14630"/>
    <w:rsid w:val="6FA4387C"/>
    <w:rsid w:val="6FAA3E8C"/>
    <w:rsid w:val="6FB940CF"/>
    <w:rsid w:val="6FC962EF"/>
    <w:rsid w:val="6FD809F9"/>
    <w:rsid w:val="6FD827A7"/>
    <w:rsid w:val="6FE50A20"/>
    <w:rsid w:val="70011F1C"/>
    <w:rsid w:val="700F1F41"/>
    <w:rsid w:val="701032DE"/>
    <w:rsid w:val="701B7359"/>
    <w:rsid w:val="702C664F"/>
    <w:rsid w:val="702E49BF"/>
    <w:rsid w:val="7047792D"/>
    <w:rsid w:val="707F3935"/>
    <w:rsid w:val="708244C1"/>
    <w:rsid w:val="70A02B99"/>
    <w:rsid w:val="70A72179"/>
    <w:rsid w:val="70CB6663"/>
    <w:rsid w:val="70CC63C8"/>
    <w:rsid w:val="70E94540"/>
    <w:rsid w:val="71092E34"/>
    <w:rsid w:val="71104A52"/>
    <w:rsid w:val="711D6F50"/>
    <w:rsid w:val="711E57A5"/>
    <w:rsid w:val="71212D63"/>
    <w:rsid w:val="71441FB3"/>
    <w:rsid w:val="71664C5D"/>
    <w:rsid w:val="717B430C"/>
    <w:rsid w:val="718F158B"/>
    <w:rsid w:val="718F6E95"/>
    <w:rsid w:val="71A010A2"/>
    <w:rsid w:val="71A92648"/>
    <w:rsid w:val="71D023F7"/>
    <w:rsid w:val="71D05719"/>
    <w:rsid w:val="71E11EBD"/>
    <w:rsid w:val="71EB6140"/>
    <w:rsid w:val="71F17161"/>
    <w:rsid w:val="71FB09CF"/>
    <w:rsid w:val="720032B2"/>
    <w:rsid w:val="72007D93"/>
    <w:rsid w:val="721B2E1F"/>
    <w:rsid w:val="721B697B"/>
    <w:rsid w:val="724203AC"/>
    <w:rsid w:val="724F2AC9"/>
    <w:rsid w:val="725733E1"/>
    <w:rsid w:val="7257401A"/>
    <w:rsid w:val="725F0F5E"/>
    <w:rsid w:val="72646574"/>
    <w:rsid w:val="727E4D11"/>
    <w:rsid w:val="72891CE4"/>
    <w:rsid w:val="728E539F"/>
    <w:rsid w:val="729A3A51"/>
    <w:rsid w:val="729F135A"/>
    <w:rsid w:val="72A72905"/>
    <w:rsid w:val="72A9188A"/>
    <w:rsid w:val="72AE0FD1"/>
    <w:rsid w:val="72B74013"/>
    <w:rsid w:val="72C2773E"/>
    <w:rsid w:val="72C9287B"/>
    <w:rsid w:val="72DB6526"/>
    <w:rsid w:val="72E6561C"/>
    <w:rsid w:val="73012015"/>
    <w:rsid w:val="731358A4"/>
    <w:rsid w:val="73226BE4"/>
    <w:rsid w:val="732B52E4"/>
    <w:rsid w:val="73471D8B"/>
    <w:rsid w:val="734B14E2"/>
    <w:rsid w:val="736E6F7E"/>
    <w:rsid w:val="7371012D"/>
    <w:rsid w:val="738022BD"/>
    <w:rsid w:val="738B0EBB"/>
    <w:rsid w:val="738E492B"/>
    <w:rsid w:val="7399049F"/>
    <w:rsid w:val="739D79E9"/>
    <w:rsid w:val="73A6496A"/>
    <w:rsid w:val="73A744CA"/>
    <w:rsid w:val="73C3551C"/>
    <w:rsid w:val="73C7645B"/>
    <w:rsid w:val="73CC0FB2"/>
    <w:rsid w:val="73D6781F"/>
    <w:rsid w:val="73DF482D"/>
    <w:rsid w:val="73E01C2A"/>
    <w:rsid w:val="73FB4CB6"/>
    <w:rsid w:val="74017DF2"/>
    <w:rsid w:val="74043A9C"/>
    <w:rsid w:val="740F42BD"/>
    <w:rsid w:val="74220C76"/>
    <w:rsid w:val="74281823"/>
    <w:rsid w:val="743D7217"/>
    <w:rsid w:val="74446AC0"/>
    <w:rsid w:val="744F6DB0"/>
    <w:rsid w:val="74621CC2"/>
    <w:rsid w:val="74637F1A"/>
    <w:rsid w:val="747D391D"/>
    <w:rsid w:val="748047DE"/>
    <w:rsid w:val="74870052"/>
    <w:rsid w:val="7487167C"/>
    <w:rsid w:val="74926F89"/>
    <w:rsid w:val="749A20D3"/>
    <w:rsid w:val="74A14D0C"/>
    <w:rsid w:val="74A17437"/>
    <w:rsid w:val="74AA6167"/>
    <w:rsid w:val="74AE211B"/>
    <w:rsid w:val="74B17A6A"/>
    <w:rsid w:val="74B25633"/>
    <w:rsid w:val="74C432FA"/>
    <w:rsid w:val="74EB2A4C"/>
    <w:rsid w:val="74ED2FA0"/>
    <w:rsid w:val="74F00593"/>
    <w:rsid w:val="74F040EF"/>
    <w:rsid w:val="750C54E1"/>
    <w:rsid w:val="750F7C4B"/>
    <w:rsid w:val="75182470"/>
    <w:rsid w:val="752704E9"/>
    <w:rsid w:val="75550AA0"/>
    <w:rsid w:val="7557632B"/>
    <w:rsid w:val="75705230"/>
    <w:rsid w:val="75742828"/>
    <w:rsid w:val="7590142E"/>
    <w:rsid w:val="75A11CFC"/>
    <w:rsid w:val="75AC07FE"/>
    <w:rsid w:val="75BA64AB"/>
    <w:rsid w:val="75BD7AE6"/>
    <w:rsid w:val="75C8636F"/>
    <w:rsid w:val="75CB1A9A"/>
    <w:rsid w:val="75CF63FA"/>
    <w:rsid w:val="75D15C89"/>
    <w:rsid w:val="75D51537"/>
    <w:rsid w:val="75DA08FB"/>
    <w:rsid w:val="75EB2B08"/>
    <w:rsid w:val="75F0011F"/>
    <w:rsid w:val="760A030B"/>
    <w:rsid w:val="760F67F7"/>
    <w:rsid w:val="76124539"/>
    <w:rsid w:val="76136A98"/>
    <w:rsid w:val="763149BF"/>
    <w:rsid w:val="76320737"/>
    <w:rsid w:val="76544B8E"/>
    <w:rsid w:val="766D196F"/>
    <w:rsid w:val="767139A2"/>
    <w:rsid w:val="76790114"/>
    <w:rsid w:val="769F311D"/>
    <w:rsid w:val="76BE1FCB"/>
    <w:rsid w:val="76BF3606"/>
    <w:rsid w:val="76BF709D"/>
    <w:rsid w:val="76C43A85"/>
    <w:rsid w:val="76DC7890"/>
    <w:rsid w:val="76E76296"/>
    <w:rsid w:val="76E97048"/>
    <w:rsid w:val="76FB321F"/>
    <w:rsid w:val="770235BA"/>
    <w:rsid w:val="770245AD"/>
    <w:rsid w:val="77082056"/>
    <w:rsid w:val="770E6AAE"/>
    <w:rsid w:val="770F2861"/>
    <w:rsid w:val="772D7293"/>
    <w:rsid w:val="77416E84"/>
    <w:rsid w:val="77440722"/>
    <w:rsid w:val="77512E3F"/>
    <w:rsid w:val="77536AA1"/>
    <w:rsid w:val="77660698"/>
    <w:rsid w:val="776C5E7A"/>
    <w:rsid w:val="77721814"/>
    <w:rsid w:val="77764DC6"/>
    <w:rsid w:val="77902BB7"/>
    <w:rsid w:val="77981847"/>
    <w:rsid w:val="77986993"/>
    <w:rsid w:val="77A06E95"/>
    <w:rsid w:val="77A31369"/>
    <w:rsid w:val="77A64F39"/>
    <w:rsid w:val="77AB2B5F"/>
    <w:rsid w:val="77B452E7"/>
    <w:rsid w:val="77C47AB5"/>
    <w:rsid w:val="77CD482C"/>
    <w:rsid w:val="77CF7BCC"/>
    <w:rsid w:val="77D017BE"/>
    <w:rsid w:val="77D61195"/>
    <w:rsid w:val="77F263D0"/>
    <w:rsid w:val="77FC724F"/>
    <w:rsid w:val="780E2ADE"/>
    <w:rsid w:val="7812790F"/>
    <w:rsid w:val="781D0226"/>
    <w:rsid w:val="781F6A99"/>
    <w:rsid w:val="782B63CE"/>
    <w:rsid w:val="782C351C"/>
    <w:rsid w:val="78372035"/>
    <w:rsid w:val="78380231"/>
    <w:rsid w:val="78414C61"/>
    <w:rsid w:val="78526E6F"/>
    <w:rsid w:val="785A272A"/>
    <w:rsid w:val="787E5EB6"/>
    <w:rsid w:val="78845E88"/>
    <w:rsid w:val="788F3C1F"/>
    <w:rsid w:val="78A7540C"/>
    <w:rsid w:val="78AF0F9C"/>
    <w:rsid w:val="78B70A5B"/>
    <w:rsid w:val="78B90C9C"/>
    <w:rsid w:val="78E52B1B"/>
    <w:rsid w:val="78F67A97"/>
    <w:rsid w:val="790A14F7"/>
    <w:rsid w:val="79174B03"/>
    <w:rsid w:val="7919798C"/>
    <w:rsid w:val="79206F6D"/>
    <w:rsid w:val="79464C25"/>
    <w:rsid w:val="794E5888"/>
    <w:rsid w:val="795D33AB"/>
    <w:rsid w:val="797B41A3"/>
    <w:rsid w:val="79892D64"/>
    <w:rsid w:val="798C0AC6"/>
    <w:rsid w:val="799B65F3"/>
    <w:rsid w:val="79A96F62"/>
    <w:rsid w:val="79B002F1"/>
    <w:rsid w:val="79BA2F1D"/>
    <w:rsid w:val="79BC6C95"/>
    <w:rsid w:val="79C8563A"/>
    <w:rsid w:val="79E20DEE"/>
    <w:rsid w:val="79E61F64"/>
    <w:rsid w:val="79F50F0C"/>
    <w:rsid w:val="7A081EDB"/>
    <w:rsid w:val="7A11255E"/>
    <w:rsid w:val="7A1C7734"/>
    <w:rsid w:val="7A2A25EE"/>
    <w:rsid w:val="7A344A7E"/>
    <w:rsid w:val="7A37456E"/>
    <w:rsid w:val="7A427859"/>
    <w:rsid w:val="7A480094"/>
    <w:rsid w:val="7A4D09CC"/>
    <w:rsid w:val="7A5042C4"/>
    <w:rsid w:val="7A67448F"/>
    <w:rsid w:val="7A707A80"/>
    <w:rsid w:val="7A7157AF"/>
    <w:rsid w:val="7AAB6762"/>
    <w:rsid w:val="7AB636E5"/>
    <w:rsid w:val="7AC540CB"/>
    <w:rsid w:val="7AE00762"/>
    <w:rsid w:val="7AE069B4"/>
    <w:rsid w:val="7AEC0D6A"/>
    <w:rsid w:val="7AF80E31"/>
    <w:rsid w:val="7B113011"/>
    <w:rsid w:val="7B195F1B"/>
    <w:rsid w:val="7B2C1BF9"/>
    <w:rsid w:val="7B4C1878"/>
    <w:rsid w:val="7B691A9A"/>
    <w:rsid w:val="7B86620A"/>
    <w:rsid w:val="7B872DAB"/>
    <w:rsid w:val="7B886BB1"/>
    <w:rsid w:val="7B9C6D7F"/>
    <w:rsid w:val="7B9F7C4E"/>
    <w:rsid w:val="7BA47E64"/>
    <w:rsid w:val="7BC07FDA"/>
    <w:rsid w:val="7BC40083"/>
    <w:rsid w:val="7BC65BA9"/>
    <w:rsid w:val="7BC81986"/>
    <w:rsid w:val="7BD137C8"/>
    <w:rsid w:val="7BE12E76"/>
    <w:rsid w:val="7BE81FC4"/>
    <w:rsid w:val="7BF12F4B"/>
    <w:rsid w:val="7C0068D0"/>
    <w:rsid w:val="7C030BAC"/>
    <w:rsid w:val="7C05494A"/>
    <w:rsid w:val="7C156B31"/>
    <w:rsid w:val="7C18217D"/>
    <w:rsid w:val="7C26471C"/>
    <w:rsid w:val="7C322661"/>
    <w:rsid w:val="7C341A64"/>
    <w:rsid w:val="7C5261AC"/>
    <w:rsid w:val="7C5C4760"/>
    <w:rsid w:val="7C5F0527"/>
    <w:rsid w:val="7C644133"/>
    <w:rsid w:val="7C6B04FF"/>
    <w:rsid w:val="7C716A88"/>
    <w:rsid w:val="7C74451B"/>
    <w:rsid w:val="7C7539D7"/>
    <w:rsid w:val="7C78687E"/>
    <w:rsid w:val="7C8D66C7"/>
    <w:rsid w:val="7C8E7993"/>
    <w:rsid w:val="7C961A20"/>
    <w:rsid w:val="7CAD6A46"/>
    <w:rsid w:val="7CC120EB"/>
    <w:rsid w:val="7CC702CD"/>
    <w:rsid w:val="7CD75B94"/>
    <w:rsid w:val="7CDC13FD"/>
    <w:rsid w:val="7CDD764F"/>
    <w:rsid w:val="7CE02C9B"/>
    <w:rsid w:val="7CE441D6"/>
    <w:rsid w:val="7CE927C4"/>
    <w:rsid w:val="7D250FF6"/>
    <w:rsid w:val="7D271B44"/>
    <w:rsid w:val="7D32101D"/>
    <w:rsid w:val="7D562F5D"/>
    <w:rsid w:val="7D606B79"/>
    <w:rsid w:val="7D697134"/>
    <w:rsid w:val="7D6A1528"/>
    <w:rsid w:val="7D7429D5"/>
    <w:rsid w:val="7D913F95"/>
    <w:rsid w:val="7DA20A00"/>
    <w:rsid w:val="7DB87774"/>
    <w:rsid w:val="7DC30F39"/>
    <w:rsid w:val="7DCC651D"/>
    <w:rsid w:val="7DE12051"/>
    <w:rsid w:val="7DE14013"/>
    <w:rsid w:val="7DE2661C"/>
    <w:rsid w:val="7DE844FD"/>
    <w:rsid w:val="7E022710"/>
    <w:rsid w:val="7E0230E5"/>
    <w:rsid w:val="7E0639E5"/>
    <w:rsid w:val="7E097FCF"/>
    <w:rsid w:val="7E0E5F7F"/>
    <w:rsid w:val="7E161FF2"/>
    <w:rsid w:val="7E186A13"/>
    <w:rsid w:val="7E1A3F8B"/>
    <w:rsid w:val="7E1B5633"/>
    <w:rsid w:val="7E217B0B"/>
    <w:rsid w:val="7E24305B"/>
    <w:rsid w:val="7E2B263C"/>
    <w:rsid w:val="7E3C2153"/>
    <w:rsid w:val="7E3F7E95"/>
    <w:rsid w:val="7E527BC8"/>
    <w:rsid w:val="7E597CD7"/>
    <w:rsid w:val="7E5D74F0"/>
    <w:rsid w:val="7E636E46"/>
    <w:rsid w:val="7E7538B7"/>
    <w:rsid w:val="7E893B09"/>
    <w:rsid w:val="7EA37C2B"/>
    <w:rsid w:val="7EB11107"/>
    <w:rsid w:val="7EB74F38"/>
    <w:rsid w:val="7EBB23D7"/>
    <w:rsid w:val="7EC62364"/>
    <w:rsid w:val="7ECB40AD"/>
    <w:rsid w:val="7ECB467D"/>
    <w:rsid w:val="7ED22AB7"/>
    <w:rsid w:val="7ED97EFB"/>
    <w:rsid w:val="7EE66B41"/>
    <w:rsid w:val="7EE747B5"/>
    <w:rsid w:val="7EF41076"/>
    <w:rsid w:val="7EF96296"/>
    <w:rsid w:val="7F007624"/>
    <w:rsid w:val="7F08472B"/>
    <w:rsid w:val="7F0E28E2"/>
    <w:rsid w:val="7F0F5AB9"/>
    <w:rsid w:val="7F166E48"/>
    <w:rsid w:val="7F1E0566"/>
    <w:rsid w:val="7F201A75"/>
    <w:rsid w:val="7F2132E9"/>
    <w:rsid w:val="7F264CB2"/>
    <w:rsid w:val="7F2A7E75"/>
    <w:rsid w:val="7F45772D"/>
    <w:rsid w:val="7F463BFE"/>
    <w:rsid w:val="7F477001"/>
    <w:rsid w:val="7F4C286A"/>
    <w:rsid w:val="7F542D0C"/>
    <w:rsid w:val="7F543FA7"/>
    <w:rsid w:val="7F5D712A"/>
    <w:rsid w:val="7F69341C"/>
    <w:rsid w:val="7F762068"/>
    <w:rsid w:val="7F966C81"/>
    <w:rsid w:val="7FA21CD9"/>
    <w:rsid w:val="7FB95889"/>
    <w:rsid w:val="7FD76DDD"/>
    <w:rsid w:val="7FF75AFE"/>
    <w:rsid w:val="7FFA01D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68"/>
    <w:autoRedefine/>
    <w:qFormat/>
    <w:locked/>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50"/>
    <w:autoRedefine/>
    <w:qFormat/>
    <w:uiPriority w:val="99"/>
    <w:pPr>
      <w:jc w:val="left"/>
    </w:pPr>
  </w:style>
  <w:style w:type="paragraph" w:styleId="4">
    <w:name w:val="Balloon Text"/>
    <w:basedOn w:val="1"/>
    <w:link w:val="49"/>
    <w:autoRedefine/>
    <w:qFormat/>
    <w:uiPriority w:val="99"/>
    <w:rPr>
      <w:sz w:val="18"/>
      <w:szCs w:val="18"/>
    </w:rPr>
  </w:style>
  <w:style w:type="paragraph" w:styleId="5">
    <w:name w:val="footer"/>
    <w:basedOn w:val="1"/>
    <w:link w:val="21"/>
    <w:autoRedefine/>
    <w:qFormat/>
    <w:uiPriority w:val="99"/>
    <w:pPr>
      <w:tabs>
        <w:tab w:val="center" w:pos="4153"/>
        <w:tab w:val="right" w:pos="8306"/>
      </w:tabs>
      <w:snapToGrid w:val="0"/>
      <w:jc w:val="left"/>
    </w:pPr>
    <w:rPr>
      <w:sz w:val="18"/>
    </w:rPr>
  </w:style>
  <w:style w:type="paragraph" w:styleId="6">
    <w:name w:val="header"/>
    <w:basedOn w:val="1"/>
    <w:link w:val="22"/>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autoRedefine/>
    <w:semiHidden/>
    <w:unhideWhenUsed/>
    <w:qFormat/>
    <w:uiPriority w:val="39"/>
  </w:style>
  <w:style w:type="paragraph" w:styleId="8">
    <w:name w:val="toc 2"/>
    <w:basedOn w:val="1"/>
    <w:next w:val="1"/>
    <w:autoRedefine/>
    <w:semiHidden/>
    <w:unhideWhenUsed/>
    <w:qFormat/>
    <w:uiPriority w:val="39"/>
    <w:pPr>
      <w:ind w:left="420" w:leftChars="200"/>
    </w:p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3"/>
    <w:next w:val="3"/>
    <w:link w:val="51"/>
    <w:autoRedefine/>
    <w:qFormat/>
    <w:uiPriority w:val="99"/>
    <w:rPr>
      <w:b/>
      <w:bCs/>
    </w:rPr>
  </w:style>
  <w:style w:type="table" w:styleId="12">
    <w:name w:val="Table Grid"/>
    <w:basedOn w:val="11"/>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22"/>
    <w:rPr>
      <w:rFonts w:cs="Times New Roman"/>
    </w:rPr>
  </w:style>
  <w:style w:type="character" w:styleId="15">
    <w:name w:val="page number"/>
    <w:basedOn w:val="13"/>
    <w:autoRedefine/>
    <w:qFormat/>
    <w:uiPriority w:val="99"/>
    <w:rPr>
      <w:rFonts w:cs="Times New Roman"/>
    </w:rPr>
  </w:style>
  <w:style w:type="character" w:styleId="16">
    <w:name w:val="Emphasis"/>
    <w:basedOn w:val="13"/>
    <w:autoRedefine/>
    <w:qFormat/>
    <w:locked/>
    <w:uiPriority w:val="0"/>
    <w:rPr>
      <w:i/>
    </w:rPr>
  </w:style>
  <w:style w:type="character" w:styleId="17">
    <w:name w:val="line number"/>
    <w:basedOn w:val="13"/>
    <w:autoRedefine/>
    <w:qFormat/>
    <w:uiPriority w:val="99"/>
    <w:rPr>
      <w:rFonts w:cs="Times New Roman"/>
    </w:rPr>
  </w:style>
  <w:style w:type="character" w:styleId="18">
    <w:name w:val="Hyperlink"/>
    <w:basedOn w:val="13"/>
    <w:semiHidden/>
    <w:unhideWhenUsed/>
    <w:qFormat/>
    <w:uiPriority w:val="99"/>
    <w:rPr>
      <w:color w:val="0000FF"/>
      <w:u w:val="single"/>
    </w:rPr>
  </w:style>
  <w:style w:type="character" w:styleId="19">
    <w:name w:val="annotation reference"/>
    <w:basedOn w:val="13"/>
    <w:autoRedefine/>
    <w:qFormat/>
    <w:uiPriority w:val="99"/>
    <w:rPr>
      <w:rFonts w:cs="Times New Roman"/>
      <w:sz w:val="21"/>
      <w:szCs w:val="21"/>
    </w:rPr>
  </w:style>
  <w:style w:type="character" w:customStyle="1" w:styleId="20">
    <w:name w:val="发布"/>
    <w:basedOn w:val="13"/>
    <w:autoRedefine/>
    <w:qFormat/>
    <w:uiPriority w:val="99"/>
    <w:rPr>
      <w:rFonts w:ascii="黑体" w:eastAsia="黑体" w:cs="Times New Roman"/>
      <w:spacing w:val="85"/>
      <w:w w:val="100"/>
      <w:position w:val="3"/>
      <w:sz w:val="28"/>
      <w:szCs w:val="28"/>
    </w:rPr>
  </w:style>
  <w:style w:type="character" w:customStyle="1" w:styleId="21">
    <w:name w:val="页脚 Char"/>
    <w:basedOn w:val="13"/>
    <w:link w:val="5"/>
    <w:autoRedefine/>
    <w:qFormat/>
    <w:locked/>
    <w:uiPriority w:val="99"/>
    <w:rPr>
      <w:rFonts w:cs="Times New Roman"/>
      <w:kern w:val="2"/>
      <w:sz w:val="18"/>
    </w:rPr>
  </w:style>
  <w:style w:type="character" w:customStyle="1" w:styleId="22">
    <w:name w:val="页眉 Char"/>
    <w:basedOn w:val="13"/>
    <w:link w:val="6"/>
    <w:autoRedefine/>
    <w:semiHidden/>
    <w:qFormat/>
    <w:uiPriority w:val="99"/>
    <w:rPr>
      <w:sz w:val="18"/>
      <w:szCs w:val="18"/>
    </w:rPr>
  </w:style>
  <w:style w:type="paragraph" w:customStyle="1" w:styleId="23">
    <w:name w:val="封面标准英文名称"/>
    <w:basedOn w:val="24"/>
    <w:autoRedefine/>
    <w:qFormat/>
    <w:uiPriority w:val="0"/>
    <w:pPr>
      <w:spacing w:before="370" w:line="400" w:lineRule="exact"/>
    </w:pPr>
    <w:rPr>
      <w:rFonts w:ascii="Times New Roman"/>
      <w:sz w:val="28"/>
      <w:szCs w:val="28"/>
    </w:rPr>
  </w:style>
  <w:style w:type="paragraph" w:customStyle="1" w:styleId="24">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5">
    <w:name w:val="封面标准代替信息"/>
    <w:autoRedefine/>
    <w:qFormat/>
    <w:uiPriority w:val="99"/>
    <w:pPr>
      <w:spacing w:before="57" w:line="280" w:lineRule="exact"/>
      <w:jc w:val="right"/>
    </w:pPr>
    <w:rPr>
      <w:rFonts w:ascii="宋体" w:hAnsi="Times New Roman" w:eastAsia="宋体" w:cs="Times New Roman"/>
      <w:sz w:val="21"/>
      <w:szCs w:val="21"/>
      <w:lang w:val="en-US" w:eastAsia="zh-CN" w:bidi="ar-SA"/>
    </w:rPr>
  </w:style>
  <w:style w:type="paragraph" w:customStyle="1" w:styleId="26">
    <w:name w:val="封面标准号2"/>
    <w:autoRedefine/>
    <w:qFormat/>
    <w:uiPriority w:val="99"/>
    <w:pPr>
      <w:spacing w:before="357" w:line="280" w:lineRule="exact"/>
      <w:jc w:val="right"/>
    </w:pPr>
    <w:rPr>
      <w:rFonts w:ascii="黑体" w:hAnsi="Times New Roman" w:eastAsia="黑体" w:cs="Times New Roman"/>
      <w:sz w:val="28"/>
      <w:szCs w:val="28"/>
      <w:lang w:val="en-US" w:eastAsia="zh-CN" w:bidi="ar-SA"/>
    </w:rPr>
  </w:style>
  <w:style w:type="paragraph" w:customStyle="1" w:styleId="27">
    <w:name w:val="段"/>
    <w:link w:val="4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8">
    <w:name w:val="封面标准文稿编辑信息"/>
    <w:basedOn w:val="29"/>
    <w:autoRedefine/>
    <w:qFormat/>
    <w:uiPriority w:val="99"/>
    <w:pPr>
      <w:spacing w:before="180" w:line="180" w:lineRule="exact"/>
    </w:pPr>
    <w:rPr>
      <w:sz w:val="21"/>
    </w:rPr>
  </w:style>
  <w:style w:type="paragraph" w:customStyle="1" w:styleId="29">
    <w:name w:val="封面标准文稿类别"/>
    <w:basedOn w:val="30"/>
    <w:autoRedefine/>
    <w:qFormat/>
    <w:uiPriority w:val="99"/>
    <w:pPr>
      <w:spacing w:after="160" w:line="240" w:lineRule="auto"/>
    </w:pPr>
    <w:rPr>
      <w:sz w:val="24"/>
    </w:rPr>
  </w:style>
  <w:style w:type="paragraph" w:customStyle="1" w:styleId="30">
    <w:name w:val="封面一致性程度标识"/>
    <w:basedOn w:val="23"/>
    <w:autoRedefine/>
    <w:qFormat/>
    <w:uiPriority w:val="99"/>
    <w:pPr>
      <w:spacing w:before="440"/>
    </w:pPr>
    <w:rPr>
      <w:rFonts w:ascii="宋体" w:eastAsia="宋体"/>
    </w:rPr>
  </w:style>
  <w:style w:type="paragraph" w:customStyle="1" w:styleId="31">
    <w:name w:val="其他发布部门"/>
    <w:basedOn w:val="1"/>
    <w:autoRedefine/>
    <w:qFormat/>
    <w:uiPriority w:val="99"/>
    <w:pPr>
      <w:widowControl/>
      <w:spacing w:line="240" w:lineRule="atLeast"/>
      <w:jc w:val="center"/>
    </w:pPr>
    <w:rPr>
      <w:rFonts w:ascii="黑体" w:eastAsia="黑体"/>
      <w:spacing w:val="20"/>
      <w:w w:val="135"/>
      <w:kern w:val="0"/>
      <w:sz w:val="28"/>
    </w:rPr>
  </w:style>
  <w:style w:type="paragraph" w:customStyle="1" w:styleId="32">
    <w:name w:val="其他实施日期"/>
    <w:basedOn w:val="1"/>
    <w:autoRedefine/>
    <w:qFormat/>
    <w:uiPriority w:val="99"/>
    <w:pPr>
      <w:widowControl/>
      <w:jc w:val="right"/>
    </w:pPr>
    <w:rPr>
      <w:rFonts w:eastAsia="黑体"/>
      <w:kern w:val="0"/>
      <w:sz w:val="28"/>
    </w:rPr>
  </w:style>
  <w:style w:type="paragraph" w:customStyle="1" w:styleId="33">
    <w:name w:val="其他标准标志"/>
    <w:basedOn w:val="1"/>
    <w:autoRedefine/>
    <w:qFormat/>
    <w:uiPriority w:val="99"/>
    <w:pPr>
      <w:widowControl/>
      <w:shd w:val="solid" w:color="FFFFFF" w:fill="FFFFFF"/>
      <w:spacing w:line="240" w:lineRule="atLeast"/>
      <w:jc w:val="right"/>
    </w:pPr>
    <w:rPr>
      <w:b/>
      <w:w w:val="130"/>
      <w:kern w:val="0"/>
      <w:sz w:val="96"/>
      <w:szCs w:val="96"/>
    </w:rPr>
  </w:style>
  <w:style w:type="paragraph" w:customStyle="1" w:styleId="34">
    <w:name w:val="其他发布日期"/>
    <w:basedOn w:val="1"/>
    <w:autoRedefine/>
    <w:qFormat/>
    <w:uiPriority w:val="99"/>
    <w:pPr>
      <w:widowControl/>
      <w:jc w:val="left"/>
    </w:pPr>
    <w:rPr>
      <w:rFonts w:eastAsia="黑体"/>
      <w:kern w:val="0"/>
      <w:sz w:val="28"/>
    </w:rPr>
  </w:style>
  <w:style w:type="paragraph" w:customStyle="1" w:styleId="35">
    <w:name w:val="其他标准称谓"/>
    <w:next w:val="1"/>
    <w:autoRedefine/>
    <w:qFormat/>
    <w:uiPriority w:val="99"/>
    <w:pPr>
      <w:spacing w:line="240" w:lineRule="atLeast"/>
      <w:jc w:val="distribute"/>
    </w:pPr>
    <w:rPr>
      <w:rFonts w:ascii="黑体" w:hAnsi="宋体" w:eastAsia="黑体" w:cs="Times New Roman"/>
      <w:spacing w:val="-40"/>
      <w:sz w:val="48"/>
      <w:szCs w:val="52"/>
      <w:lang w:val="en-US" w:eastAsia="zh-CN" w:bidi="ar-SA"/>
    </w:rPr>
  </w:style>
  <w:style w:type="paragraph" w:customStyle="1" w:styleId="36">
    <w:name w:val="一级条标题"/>
    <w:next w:val="27"/>
    <w:link w:val="53"/>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37">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8">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9">
    <w:name w:val="章标题"/>
    <w:next w:val="27"/>
    <w:link w:val="44"/>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0">
    <w:name w:val="二级条标题"/>
    <w:basedOn w:val="36"/>
    <w:next w:val="27"/>
    <w:link w:val="56"/>
    <w:autoRedefine/>
    <w:qFormat/>
    <w:uiPriority w:val="0"/>
    <w:pPr>
      <w:numPr>
        <w:ilvl w:val="2"/>
      </w:numPr>
      <w:spacing w:before="50" w:after="50"/>
      <w:outlineLvl w:val="3"/>
    </w:pPr>
  </w:style>
  <w:style w:type="paragraph" w:customStyle="1" w:styleId="41">
    <w:name w:val="三级条标题"/>
    <w:basedOn w:val="40"/>
    <w:next w:val="27"/>
    <w:autoRedefine/>
    <w:qFormat/>
    <w:uiPriority w:val="0"/>
    <w:pPr>
      <w:numPr>
        <w:ilvl w:val="3"/>
      </w:numPr>
      <w:outlineLvl w:val="4"/>
    </w:pPr>
  </w:style>
  <w:style w:type="paragraph" w:customStyle="1" w:styleId="42">
    <w:name w:val="四级条标题"/>
    <w:basedOn w:val="41"/>
    <w:next w:val="27"/>
    <w:autoRedefine/>
    <w:qFormat/>
    <w:uiPriority w:val="0"/>
    <w:pPr>
      <w:numPr>
        <w:ilvl w:val="4"/>
      </w:numPr>
      <w:outlineLvl w:val="5"/>
    </w:pPr>
  </w:style>
  <w:style w:type="paragraph" w:customStyle="1" w:styleId="43">
    <w:name w:val="五级条标题"/>
    <w:basedOn w:val="42"/>
    <w:next w:val="27"/>
    <w:autoRedefine/>
    <w:qFormat/>
    <w:uiPriority w:val="0"/>
    <w:pPr>
      <w:numPr>
        <w:ilvl w:val="5"/>
      </w:numPr>
      <w:outlineLvl w:val="6"/>
    </w:pPr>
  </w:style>
  <w:style w:type="character" w:customStyle="1" w:styleId="44">
    <w:name w:val="章标题 Char"/>
    <w:basedOn w:val="13"/>
    <w:link w:val="39"/>
    <w:autoRedefine/>
    <w:qFormat/>
    <w:locked/>
    <w:uiPriority w:val="0"/>
    <w:rPr>
      <w:rFonts w:ascii="黑体" w:eastAsia="黑体"/>
      <w:sz w:val="21"/>
      <w:lang w:val="en-US" w:eastAsia="zh-CN" w:bidi="ar-SA"/>
    </w:rPr>
  </w:style>
  <w:style w:type="paragraph" w:customStyle="1" w:styleId="45">
    <w:name w:val="Default"/>
    <w:autoRedefine/>
    <w:qFormat/>
    <w:uiPriority w:val="99"/>
    <w:pPr>
      <w:widowControl w:val="0"/>
      <w:autoSpaceDE w:val="0"/>
      <w:autoSpaceDN w:val="0"/>
      <w:adjustRightInd w:val="0"/>
    </w:pPr>
    <w:rPr>
      <w:rFonts w:ascii="DFKai-SB" w:hAnsi="Times New Roman" w:eastAsia="DFKai-SB" w:cs="DFKai-SB"/>
      <w:color w:val="000000"/>
      <w:sz w:val="24"/>
      <w:szCs w:val="24"/>
      <w:lang w:val="en-US" w:eastAsia="zh-CN" w:bidi="ar-SA"/>
    </w:rPr>
  </w:style>
  <w:style w:type="paragraph" w:customStyle="1" w:styleId="46">
    <w:name w:val="前言、引言标题"/>
    <w:next w:val="1"/>
    <w:autoRedefine/>
    <w:qFormat/>
    <w:uiPriority w:val="99"/>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7">
    <w:name w:val="段 Char"/>
    <w:link w:val="27"/>
    <w:autoRedefine/>
    <w:qFormat/>
    <w:locked/>
    <w:uiPriority w:val="0"/>
    <w:rPr>
      <w:rFonts w:ascii="宋体"/>
      <w:sz w:val="21"/>
      <w:szCs w:val="22"/>
      <w:lang w:val="en-US" w:eastAsia="zh-CN" w:bidi="ar-SA"/>
    </w:rPr>
  </w:style>
  <w:style w:type="paragraph" w:customStyle="1" w:styleId="48">
    <w:name w:val="终结线"/>
    <w:basedOn w:val="1"/>
    <w:autoRedefine/>
    <w:qFormat/>
    <w:uiPriority w:val="99"/>
    <w:pPr>
      <w:framePr w:hSpace="181" w:vSpace="181" w:wrap="around" w:vAnchor="text" w:hAnchor="margin" w:xAlign="center" w:y="285"/>
    </w:pPr>
    <w:rPr>
      <w:szCs w:val="24"/>
    </w:rPr>
  </w:style>
  <w:style w:type="character" w:customStyle="1" w:styleId="49">
    <w:name w:val="批注框文本 Char"/>
    <w:basedOn w:val="13"/>
    <w:link w:val="4"/>
    <w:autoRedefine/>
    <w:qFormat/>
    <w:locked/>
    <w:uiPriority w:val="99"/>
    <w:rPr>
      <w:rFonts w:cs="Times New Roman"/>
      <w:kern w:val="2"/>
      <w:sz w:val="18"/>
      <w:szCs w:val="18"/>
    </w:rPr>
  </w:style>
  <w:style w:type="character" w:customStyle="1" w:styleId="50">
    <w:name w:val="批注文字 Char"/>
    <w:basedOn w:val="13"/>
    <w:link w:val="3"/>
    <w:autoRedefine/>
    <w:qFormat/>
    <w:locked/>
    <w:uiPriority w:val="99"/>
    <w:rPr>
      <w:rFonts w:cs="Times New Roman"/>
      <w:kern w:val="2"/>
      <w:sz w:val="21"/>
    </w:rPr>
  </w:style>
  <w:style w:type="character" w:customStyle="1" w:styleId="51">
    <w:name w:val="批注主题 Char"/>
    <w:basedOn w:val="50"/>
    <w:link w:val="10"/>
    <w:autoRedefine/>
    <w:qFormat/>
    <w:locked/>
    <w:uiPriority w:val="99"/>
    <w:rPr>
      <w:b/>
      <w:bCs/>
    </w:rPr>
  </w:style>
  <w:style w:type="paragraph" w:customStyle="1" w:styleId="52">
    <w:name w:val="目次、标准名称标题"/>
    <w:basedOn w:val="1"/>
    <w:next w:val="27"/>
    <w:autoRedefine/>
    <w:qFormat/>
    <w:uiPriority w:val="99"/>
    <w:pPr>
      <w:keepNext/>
      <w:pageBreakBefore/>
      <w:widowControl/>
      <w:shd w:val="clear" w:color="FFFFFF" w:fill="FFFFFF"/>
      <w:spacing w:before="640" w:after="560" w:line="460" w:lineRule="exact"/>
      <w:jc w:val="center"/>
      <w:outlineLvl w:val="0"/>
    </w:pPr>
    <w:rPr>
      <w:rFonts w:ascii="黑体" w:eastAsia="黑体"/>
      <w:kern w:val="0"/>
      <w:sz w:val="32"/>
    </w:rPr>
  </w:style>
  <w:style w:type="character" w:customStyle="1" w:styleId="53">
    <w:name w:val="一级条标题 Char"/>
    <w:link w:val="36"/>
    <w:autoRedefine/>
    <w:qFormat/>
    <w:locked/>
    <w:uiPriority w:val="0"/>
    <w:rPr>
      <w:rFonts w:ascii="黑体" w:eastAsia="黑体"/>
      <w:sz w:val="21"/>
      <w:szCs w:val="22"/>
      <w:lang w:bidi="ar-SA"/>
    </w:rPr>
  </w:style>
  <w:style w:type="paragraph" w:customStyle="1" w:styleId="54">
    <w:name w:val="一级无"/>
    <w:basedOn w:val="36"/>
    <w:autoRedefine/>
    <w:qFormat/>
    <w:uiPriority w:val="0"/>
    <w:pPr>
      <w:numPr>
        <w:ilvl w:val="0"/>
        <w:numId w:val="0"/>
      </w:numPr>
      <w:spacing w:beforeLines="0" w:afterLines="0"/>
      <w:ind w:left="1134"/>
    </w:pPr>
    <w:rPr>
      <w:rFonts w:ascii="宋体" w:eastAsia="宋体"/>
    </w:rPr>
  </w:style>
  <w:style w:type="paragraph" w:customStyle="1" w:styleId="55">
    <w:name w:val="二级无"/>
    <w:basedOn w:val="40"/>
    <w:autoRedefine/>
    <w:qFormat/>
    <w:uiPriority w:val="99"/>
    <w:pPr>
      <w:numPr>
        <w:ilvl w:val="0"/>
        <w:numId w:val="0"/>
      </w:numPr>
      <w:spacing w:beforeLines="0" w:afterLines="0"/>
    </w:pPr>
    <w:rPr>
      <w:rFonts w:ascii="宋体" w:eastAsia="宋体"/>
    </w:rPr>
  </w:style>
  <w:style w:type="character" w:customStyle="1" w:styleId="56">
    <w:name w:val="二级条标题 Char"/>
    <w:basedOn w:val="53"/>
    <w:link w:val="40"/>
    <w:autoRedefine/>
    <w:qFormat/>
    <w:locked/>
    <w:uiPriority w:val="0"/>
  </w:style>
  <w:style w:type="character" w:customStyle="1" w:styleId="57">
    <w:name w:val="ordinary-span-edit2"/>
    <w:basedOn w:val="13"/>
    <w:autoRedefine/>
    <w:qFormat/>
    <w:uiPriority w:val="99"/>
    <w:rPr>
      <w:rFonts w:cs="Times New Roman"/>
    </w:rPr>
  </w:style>
  <w:style w:type="paragraph" w:customStyle="1" w:styleId="58">
    <w:name w:val="列项——（一级）"/>
    <w:autoRedefine/>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59">
    <w:name w:val="列项●（二级）"/>
    <w:autoRedefine/>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60">
    <w:name w:val="列项◆（三级）"/>
    <w:basedOn w:val="1"/>
    <w:autoRedefine/>
    <w:qFormat/>
    <w:uiPriority w:val="0"/>
    <w:pPr>
      <w:numPr>
        <w:ilvl w:val="2"/>
        <w:numId w:val="2"/>
      </w:numPr>
    </w:pPr>
    <w:rPr>
      <w:rFonts w:ascii="宋体"/>
      <w:szCs w:val="21"/>
    </w:rPr>
  </w:style>
  <w:style w:type="paragraph" w:customStyle="1" w:styleId="61">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2">
    <w:name w:val="数字编号列项（二级）"/>
    <w:autoRedefine/>
    <w:qFormat/>
    <w:uiPriority w:val="0"/>
    <w:pPr>
      <w:numPr>
        <w:ilvl w:val="1"/>
        <w:numId w:val="3"/>
      </w:numPr>
      <w:jc w:val="both"/>
    </w:pPr>
    <w:rPr>
      <w:rFonts w:ascii="宋体" w:hAnsi="Times New Roman" w:eastAsia="宋体" w:cs="Times New Roman"/>
      <w:sz w:val="21"/>
      <w:lang w:val="en-US" w:eastAsia="zh-CN" w:bidi="ar-SA"/>
    </w:rPr>
  </w:style>
  <w:style w:type="paragraph" w:customStyle="1" w:styleId="63">
    <w:name w:val="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4">
    <w:name w:val="编号列项（三级）"/>
    <w:autoRedefine/>
    <w:qFormat/>
    <w:uiPriority w:val="0"/>
    <w:pPr>
      <w:numPr>
        <w:ilvl w:val="2"/>
        <w:numId w:val="3"/>
      </w:numPr>
    </w:pPr>
    <w:rPr>
      <w:rFonts w:ascii="宋体" w:hAnsi="Times New Roman" w:eastAsia="宋体" w:cs="Times New Roman"/>
      <w:sz w:val="21"/>
      <w:lang w:val="en-US" w:eastAsia="zh-CN" w:bidi="ar-SA"/>
    </w:rPr>
  </w:style>
  <w:style w:type="paragraph" w:customStyle="1" w:styleId="65">
    <w:name w:val="4.1"/>
    <w:basedOn w:val="36"/>
    <w:link w:val="66"/>
    <w:autoRedefine/>
    <w:qFormat/>
    <w:uiPriority w:val="0"/>
    <w:pPr>
      <w:numPr>
        <w:ilvl w:val="0"/>
        <w:numId w:val="0"/>
      </w:numPr>
      <w:tabs>
        <w:tab w:val="left" w:pos="363"/>
      </w:tabs>
      <w:spacing w:before="156" w:after="156"/>
      <w:ind w:firstLine="363"/>
    </w:pPr>
    <w:rPr>
      <w:szCs w:val="21"/>
    </w:rPr>
  </w:style>
  <w:style w:type="character" w:customStyle="1" w:styleId="66">
    <w:name w:val="4.1 Char"/>
    <w:basedOn w:val="53"/>
    <w:link w:val="65"/>
    <w:autoRedefine/>
    <w:qFormat/>
    <w:uiPriority w:val="0"/>
    <w:rPr>
      <w:szCs w:val="21"/>
    </w:rPr>
  </w:style>
  <w:style w:type="paragraph" w:customStyle="1" w:styleId="67">
    <w:name w:val="正文表标题"/>
    <w:next w:val="27"/>
    <w:autoRedefine/>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68">
    <w:name w:val="标题 3 Char"/>
    <w:basedOn w:val="13"/>
    <w:link w:val="2"/>
    <w:autoRedefine/>
    <w:qFormat/>
    <w:uiPriority w:val="9"/>
    <w:rPr>
      <w:rFonts w:ascii="宋体" w:hAnsi="宋体" w:cs="宋体"/>
      <w:b/>
      <w:bCs/>
      <w:sz w:val="27"/>
      <w:szCs w:val="27"/>
    </w:rPr>
  </w:style>
  <w:style w:type="character" w:customStyle="1" w:styleId="69">
    <w:name w:val="font11"/>
    <w:basedOn w:val="13"/>
    <w:autoRedefine/>
    <w:qFormat/>
    <w:uiPriority w:val="0"/>
    <w:rPr>
      <w:rFonts w:hint="eastAsia" w:ascii="楷体" w:hAnsi="楷体" w:eastAsia="楷体" w:cs="楷体"/>
      <w:b/>
      <w:bCs/>
      <w:color w:val="000000"/>
      <w:sz w:val="21"/>
      <w:szCs w:val="21"/>
      <w:u w:val="none"/>
    </w:rPr>
  </w:style>
  <w:style w:type="character" w:customStyle="1" w:styleId="70">
    <w:name w:val="font51"/>
    <w:basedOn w:val="13"/>
    <w:autoRedefine/>
    <w:qFormat/>
    <w:uiPriority w:val="0"/>
    <w:rPr>
      <w:rFonts w:hint="default" w:ascii="Times New Roman" w:hAnsi="Times New Roman" w:cs="Times New Roman"/>
      <w:b/>
      <w:bCs/>
      <w:color w:val="000000"/>
      <w:sz w:val="21"/>
      <w:szCs w:val="21"/>
      <w:u w:val="none"/>
    </w:rPr>
  </w:style>
  <w:style w:type="character" w:customStyle="1" w:styleId="71">
    <w:name w:val="font21"/>
    <w:basedOn w:val="13"/>
    <w:autoRedefine/>
    <w:qFormat/>
    <w:uiPriority w:val="0"/>
    <w:rPr>
      <w:rFonts w:hint="eastAsia" w:ascii="楷体" w:hAnsi="楷体" w:eastAsia="楷体" w:cs="楷体"/>
      <w:color w:val="000000"/>
      <w:sz w:val="21"/>
      <w:szCs w:val="21"/>
      <w:u w:val="none"/>
    </w:rPr>
  </w:style>
  <w:style w:type="character" w:customStyle="1" w:styleId="72">
    <w:name w:val="font41"/>
    <w:basedOn w:val="13"/>
    <w:autoRedefine/>
    <w:qFormat/>
    <w:uiPriority w:val="0"/>
    <w:rPr>
      <w:rFonts w:hint="default" w:ascii="Times New Roman" w:hAnsi="Times New Roman" w:cs="Times New Roman"/>
      <w:color w:val="000000"/>
      <w:sz w:val="24"/>
      <w:szCs w:val="24"/>
      <w:u w:val="none"/>
    </w:rPr>
  </w:style>
  <w:style w:type="character" w:customStyle="1" w:styleId="73">
    <w:name w:val="font31"/>
    <w:basedOn w:val="13"/>
    <w:autoRedefine/>
    <w:qFormat/>
    <w:uiPriority w:val="0"/>
    <w:rPr>
      <w:rFonts w:hint="eastAsia" w:ascii="楷体" w:hAnsi="楷体" w:eastAsia="楷体" w:cs="楷体"/>
      <w:color w:val="000000"/>
      <w:sz w:val="21"/>
      <w:szCs w:val="21"/>
      <w:u w:val="none"/>
    </w:rPr>
  </w:style>
  <w:style w:type="paragraph" w:customStyle="1" w:styleId="74">
    <w:name w:val="Table Text"/>
    <w:basedOn w:val="1"/>
    <w:autoRedefine/>
    <w:semiHidden/>
    <w:qFormat/>
    <w:uiPriority w:val="0"/>
    <w:rPr>
      <w:rFonts w:ascii="微软雅黑" w:hAnsi="微软雅黑" w:eastAsia="微软雅黑" w:cs="微软雅黑"/>
      <w:sz w:val="15"/>
      <w:szCs w:val="15"/>
      <w:lang w:val="en-US" w:eastAsia="en-US" w:bidi="ar-SA"/>
    </w:rPr>
  </w:style>
  <w:style w:type="table" w:customStyle="1" w:styleId="75">
    <w:name w:val="Table Normal"/>
    <w:autoRedefine/>
    <w:semiHidden/>
    <w:unhideWhenUsed/>
    <w:qFormat/>
    <w:uiPriority w:val="0"/>
    <w:tblPr>
      <w:tblCellMar>
        <w:top w:w="0" w:type="dxa"/>
        <w:left w:w="0" w:type="dxa"/>
        <w:bottom w:w="0" w:type="dxa"/>
        <w:right w:w="0" w:type="dxa"/>
      </w:tblCellMar>
    </w:tblPr>
  </w:style>
  <w:style w:type="paragraph" w:customStyle="1" w:styleId="76">
    <w:name w:val="WPSOffice手动目录 1"/>
    <w:autoRedefine/>
    <w:qFormat/>
    <w:uiPriority w:val="0"/>
    <w:pPr>
      <w:ind w:leftChars="0"/>
    </w:pPr>
    <w:rPr>
      <w:rFonts w:ascii="Times New Roman" w:hAnsi="Times New Roman" w:eastAsia="宋体" w:cs="Times New Roman"/>
      <w:sz w:val="20"/>
      <w:szCs w:val="20"/>
    </w:rPr>
  </w:style>
  <w:style w:type="paragraph" w:customStyle="1" w:styleId="77">
    <w:name w:val="条1"/>
    <w:basedOn w:val="1"/>
    <w:next w:val="27"/>
    <w:autoRedefine/>
    <w:qFormat/>
    <w:uiPriority w:val="0"/>
    <w:pPr>
      <w:numPr>
        <w:ilvl w:val="1"/>
        <w:numId w:val="5"/>
      </w:numPr>
      <w:outlineLvl w:val="1"/>
    </w:pPr>
    <w:rPr>
      <w:rFonts w:ascii="黑体" w:eastAsia="黑体"/>
      <w:kern w:val="21"/>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09feb047-78f8-4540-b5f1-7f2e2f719d44</errorID>
      <errorWord>GBT</errorWord>
      <group>L1_Word</group>
      <groupName>字词问题</groupName>
      <ability>L2_Typo</ability>
      <abilityName>字词错误</abilityName>
      <candidateList>
        <item>GB/T</item>
      </candidateList>
      <explain/>
      <paraID>53FC2EA5</paraID>
      <start>1</start>
      <end>5</end>
      <status>modified</status>
      <modifiedWord>GB/T</modifiedWord>
      <trackRevisions>false</trackRevisions>
    </reviewItem>
    <reviewItem>
      <errorID>0e193f96-abfd-4f4d-873e-8849db0c5bd5</errorID>
      <errorWord>GBT</errorWord>
      <group>L1_Word</group>
      <groupName>字词问题</groupName>
      <ability>L2_Typo</ability>
      <abilityName>字词错误</abilityName>
      <candidateList>
        <item>GB/T</item>
      </candidateList>
      <explain/>
      <paraID>4AD2B7B5</paraID>
      <start>0</start>
      <end>4</end>
      <status>modified</status>
      <modifiedWord>GB/T</modifiedWord>
      <trackRevisions>false</trackRevisions>
    </reviewItem>
    <reviewItem>
      <errorID>dd7c9c7c-4a30-4489-9b17-d111e25e390e</errorID>
      <errorWord>（</errorWord>
      <group>L1_Format</group>
      <groupName>格式问题</groupName>
      <ability>L2_HalfPunc</ability>
      <abilityName>全半角检查</abilityName>
      <candidateList>
        <item>(</item>
      </candidateList>
      <explain>文本全半角错误。</explain>
      <paraID>210A45E8</paraID>
      <start>38</start>
      <end>39</end>
      <status>unmodified</status>
      <modifiedWord/>
      <trackRevisions>false</trackRevisions>
    </reviewItem>
    <reviewItem>
      <errorID>5a2b0b6f-f4b6-419b-9c84-50b08c28f675</errorID>
      <errorWord>）</errorWord>
      <group>L1_Format</group>
      <groupName>格式问题</groupName>
      <ability>L2_HalfPunc</ability>
      <abilityName>全半角检查</abilityName>
      <candidateList>
        <item>)</item>
      </candidateList>
      <explain>文本全半角错误。</explain>
      <paraID>210A45E8</paraID>
      <start>40</start>
      <end>41</end>
      <status>unmodified</status>
      <modifiedWord/>
      <trackRevisions>false</trackRevisions>
    </reviewItem>
    <reviewItem>
      <errorID>b1e49bda-afb9-49a7-995f-a8a8d1e20449</errorID>
      <errorWord>（</errorWord>
      <group>L1_Format</group>
      <groupName>格式问题</groupName>
      <ability>L2_HalfPunc</ability>
      <abilityName>全半角检查</abilityName>
      <candidateList>
        <item>(</item>
      </candidateList>
      <explain>文本全半角错误。</explain>
      <paraID>39917240</paraID>
      <start>9</start>
      <end>10</end>
      <status>unmodified</status>
      <modifiedWord/>
      <trackRevisions>false</trackRevisions>
    </reviewItem>
    <reviewItem>
      <errorID>3e9410fc-bd37-4ed8-aae1-e6e08195bf63</errorID>
      <errorWord>）</errorWord>
      <group>L1_Format</group>
      <groupName>格式问题</groupName>
      <ability>L2_HalfPunc</ability>
      <abilityName>全半角检查</abilityName>
      <candidateList>
        <item>)</item>
      </candidateList>
      <explain>文本全半角错误。</explain>
      <paraID>39917240</paraID>
      <start>11</start>
      <end>12</end>
      <status>unmodified</status>
      <modifiedWord/>
      <trackRevisions>false</trackRevisions>
    </reviewItem>
    <reviewItem>
      <errorID>2e1951de-1866-416a-9f2e-35077161435b</errorID>
      <errorWord>（</errorWord>
      <group>L1_Format</group>
      <groupName>格式问题</groupName>
      <ability>L2_HalfPunc</ability>
      <abilityName>全半角检查</abilityName>
      <candidateList>
        <item>(</item>
      </candidateList>
      <explain>文本全半角错误。</explain>
      <paraID>6B384750</paraID>
      <start>23</start>
      <end>24</end>
      <status>unmodified</status>
      <modifiedWord/>
      <trackRevisions>false</trackRevisions>
    </reviewItem>
    <reviewItem>
      <errorID>94f1b86b-1da0-4c8f-aad0-a3b7d03860da</errorID>
      <errorWord>）</errorWord>
      <group>L1_Format</group>
      <groupName>格式问题</groupName>
      <ability>L2_HalfPunc</ability>
      <abilityName>全半角检查</abilityName>
      <candidateList>
        <item>)</item>
      </candidateList>
      <explain>文本全半角错误。</explain>
      <paraID>6B384750</paraID>
      <start>25</start>
      <end>26</end>
      <status>unmodified</status>
      <modifiedWord/>
      <trackRevisions>false</trackRevisions>
    </reviewItem>
    <reviewItem>
      <errorID>97159b2e-e21f-434e-a3f5-be91bb2af186</errorID>
      <errorWord>（</errorWord>
      <group>L1_Format</group>
      <groupName>格式问题</groupName>
      <ability>L2_HalfPunc</ability>
      <abilityName>全半角检查</abilityName>
      <candidateList>
        <item>(</item>
      </candidateList>
      <explain>文本全半角错误。</explain>
      <paraID>46DCB09B</paraID>
      <start>30</start>
      <end>31</end>
      <status>unmodified</status>
      <modifiedWord/>
      <trackRevisions>false</trackRevisions>
    </reviewItem>
    <reviewItem>
      <errorID>0fdc9c95-f89d-4c45-8f32-7f7f640c1934</errorID>
      <errorWord>）</errorWord>
      <group>L1_Format</group>
      <groupName>格式问题</groupName>
      <ability>L2_HalfPunc</ability>
      <abilityName>全半角检查</abilityName>
      <candidateList>
        <item>)</item>
      </candidateList>
      <explain>文本全半角错误。</explain>
      <paraID>46DCB09B</paraID>
      <start>32</start>
      <end>33</end>
      <status>unmodified</status>
      <modifiedWord/>
      <trackRevisions>false</trackRevisions>
    </reviewItem>
    <reviewItem>
      <errorID>62dd7361-e2be-4d05-bc3c-381973fae74f</errorID>
      <errorWord>（</errorWord>
      <group>L1_Format</group>
      <groupName>格式问题</groupName>
      <ability>L2_HalfPunc</ability>
      <abilityName>全半角检查</abilityName>
      <candidateList>
        <item>(</item>
      </candidateList>
      <explain>文本全半角错误。</explain>
      <paraID>21FE888F</paraID>
      <start>33</start>
      <end>34</end>
      <status>unmodified</status>
      <modifiedWord/>
      <trackRevisions>false</trackRevisions>
    </reviewItem>
    <reviewItem>
      <errorID>6f88ffb8-1336-42e5-a955-34345825011f</errorID>
      <errorWord>）</errorWord>
      <group>L1_Format</group>
      <groupName>格式问题</groupName>
      <ability>L2_HalfPunc</ability>
      <abilityName>全半角检查</abilityName>
      <candidateList>
        <item>)</item>
      </candidateList>
      <explain>文本全半角错误。</explain>
      <paraID>21FE888F</paraID>
      <start>36</start>
      <end>37</end>
      <status>unmodified</status>
      <modifiedWord/>
      <trackRevisions>false</trackRevisions>
    </reviewItem>
    <reviewItem>
      <errorID>21502057-0eac-4ffc-9655-686a4080984b</errorID>
      <errorWord>（</errorWord>
      <group>L1_Format</group>
      <groupName>格式问题</groupName>
      <ability>L2_HalfPunc</ability>
      <abilityName>全半角检查</abilityName>
      <candidateList>
        <item>(</item>
      </candidateList>
      <explain>文本全半角错误。</explain>
      <paraID>66AC086C</paraID>
      <start>27</start>
      <end>28</end>
      <status>unmodified</status>
      <modifiedWord/>
      <trackRevisions>false</trackRevisions>
    </reviewItem>
    <reviewItem>
      <errorID>5fd19303-956f-4c6e-a2cd-b37ff89e0785</errorID>
      <errorWord>）</errorWord>
      <group>L1_Format</group>
      <groupName>格式问题</groupName>
      <ability>L2_HalfPunc</ability>
      <abilityName>全半角检查</abilityName>
      <candidateList>
        <item>)</item>
      </candidateList>
      <explain>文本全半角错误。</explain>
      <paraID>66AC086C</paraID>
      <start>30</start>
      <end>31</end>
      <status>unmodified</status>
      <modifiedWord/>
      <trackRevisions>false</trackRevisions>
    </reviewItem>
    <reviewItem>
      <errorID>3eea8479-9c1c-40ba-a442-77ecce31a227</errorID>
      <errorWord>（</errorWord>
      <group>L1_Format</group>
      <groupName>格式问题</groupName>
      <ability>L2_HalfPunc</ability>
      <abilityName>全半角检查</abilityName>
      <candidateList>
        <item>(</item>
      </candidateList>
      <explain>文本全半角错误。</explain>
      <paraID>7BC9F8E7</paraID>
      <start>27</start>
      <end>28</end>
      <status>unmodified</status>
      <modifiedWord/>
      <trackRevisions>false</trackRevisions>
    </reviewItem>
    <reviewItem>
      <errorID>69c35538-06b4-477a-ab1b-d468a1f1ef2b</errorID>
      <errorWord>）</errorWord>
      <group>L1_Format</group>
      <groupName>格式问题</groupName>
      <ability>L2_HalfPunc</ability>
      <abilityName>全半角检查</abilityName>
      <candidateList>
        <item>)</item>
      </candidateList>
      <explain>文本全半角错误。</explain>
      <paraID>7BC9F8E7</paraID>
      <start>30</start>
      <end>31</end>
      <status>unmodified</status>
      <modifiedWord/>
      <trackRevisions>false</trackRevisions>
    </reviewItem>
    <reviewItem>
      <errorID>f6419016-514e-45c5-8b93-3c7ac71503bf</errorID>
      <errorWord>。</errorWord>
      <group>L1_Punc</group>
      <groupName>标点问题</groupName>
      <ability>L2_Punc</ability>
      <abilityName>标点符号检查</abilityName>
      <candidateList>
        <item>，</item>
      </candidateList>
      <explain/>
      <paraID>4E026CE3</paraID>
      <start>26</start>
      <end>27</end>
      <status>modified</status>
      <modifiedWord>，</modifiedWord>
      <trackRevisions>false</trackRevisions>
    </reviewItem>
    <reviewItem>
      <errorID>73d1df71-2639-496e-bb57-ebee3ca6565d</errorID>
      <errorWord>（</errorWord>
      <group>L1_Format</group>
      <groupName>格式问题</groupName>
      <ability>L2_HalfPunc</ability>
      <abilityName>全半角检查</abilityName>
      <candidateList>
        <item>(</item>
      </candidateList>
      <explain>文本全半角错误。</explain>
      <paraID>2192C503</paraID>
      <start>12</start>
      <end>13</end>
      <status>unmodified</status>
      <modifiedWord/>
      <trackRevisions>false</trackRevisions>
    </reviewItem>
    <reviewItem>
      <errorID>b3aeb88c-e88f-450d-8ae4-3572ff126de4</errorID>
      <errorWord>）</errorWord>
      <group>L1_Format</group>
      <groupName>格式问题</groupName>
      <ability>L2_HalfPunc</ability>
      <abilityName>全半角检查</abilityName>
      <candidateList>
        <item>)</item>
      </candidateList>
      <explain>文本全半角错误。</explain>
      <paraID>2192C503</paraID>
      <start>17</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136803-2B5B-4A32-B440-5A62B8CAFC6C}">
  <ds:schemaRefs/>
</ds:datastoreItem>
</file>

<file path=customXml/itemProps3.xml><?xml version="1.0" encoding="utf-8"?>
<ds:datastoreItem xmlns:ds="http://schemas.openxmlformats.org/officeDocument/2006/customXml" ds:itemID="{a783f0b7-9d19-40a2-b133-43cc5a0ff9cb}">
  <ds:schemaRefs/>
</ds:datastoreItem>
</file>

<file path=docProps/app.xml><?xml version="1.0" encoding="utf-8"?>
<Properties xmlns="http://schemas.openxmlformats.org/officeDocument/2006/extended-properties" xmlns:vt="http://schemas.openxmlformats.org/officeDocument/2006/docPropsVTypes">
  <Template>Normal.dotm</Template>
  <Company>深圳市斯尔顿科技有限公司</Company>
  <Pages>16</Pages>
  <Words>4914</Words>
  <Characters>6383</Characters>
  <Lines>29</Lines>
  <Paragraphs>8</Paragraphs>
  <TotalTime>25</TotalTime>
  <ScaleCrop>false</ScaleCrop>
  <LinksUpToDate>false</LinksUpToDate>
  <CharactersWithSpaces>6701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2022-07-27T07:51:00Z</dcterms:created>
  <dc:creator>hp</dc:creator>
  <cp:lastModifiedBy>cyc</cp:lastModifiedBy>
  <cp:lastPrinted>2023-11-06T01:38:00Z</cp:lastPrinted>
  <dcterms:modified xsi:type="dcterms:W3CDTF">2026-07-30T01:32:16Z</dcterms:modified>
  <dc:title>DBS44</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3C6FFE5FADDE4B81861DAD8A2DEF01C6_13</vt:lpwstr>
  </property>
  <property fmtid="{D5CDD505-2E9C-101B-9397-08002B2CF9AE}" pid="4" name="KSOTemplateDocerSaveRecord">
    <vt:lpwstr>eyJoZGlkIjoiMzQ5NGQxMGE1YTY5MWNkZWY1YTNiMTNkNDBhZTdlMjQiLCJ1c2VySWQiOiIxMDQzMDAyMzIzIn0=</vt:lpwstr>
  </property>
</Properties>
</file>