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588E89">
      <w:pPr>
        <w:jc w:val="center"/>
        <w:rPr>
          <w:rFonts w:hint="eastAsia" w:ascii="Times New Roman" w:hAnsi="Times New Roman" w:eastAsia="黑体" w:cs="Times New Roman"/>
          <w:b/>
          <w:color w:val="auto"/>
          <w:kern w:val="0"/>
          <w:sz w:val="44"/>
          <w:szCs w:val="44"/>
          <w:lang w:val="en-US" w:eastAsia="zh-CN" w:bidi="ar-SA"/>
        </w:rPr>
      </w:pPr>
    </w:p>
    <w:p w14:paraId="1A17106F">
      <w:pPr>
        <w:jc w:val="center"/>
        <w:rPr>
          <w:rFonts w:hint="eastAsia" w:ascii="Times New Roman" w:hAnsi="Times New Roman" w:eastAsia="黑体" w:cs="Times New Roman"/>
          <w:b/>
          <w:color w:val="auto"/>
          <w:kern w:val="0"/>
          <w:sz w:val="44"/>
          <w:szCs w:val="44"/>
          <w:lang w:val="en-US" w:eastAsia="zh-CN" w:bidi="ar-SA"/>
        </w:rPr>
      </w:pPr>
    </w:p>
    <w:p w14:paraId="2A78F4B9">
      <w:pPr>
        <w:jc w:val="center"/>
        <w:rPr>
          <w:rFonts w:hint="eastAsia" w:ascii="Times New Roman" w:hAnsi="Times New Roman" w:eastAsia="黑体" w:cs="Times New Roman"/>
          <w:b/>
          <w:color w:val="auto"/>
          <w:kern w:val="0"/>
          <w:sz w:val="44"/>
          <w:szCs w:val="44"/>
          <w:lang w:val="en-US" w:eastAsia="zh-CN" w:bidi="ar-SA"/>
        </w:rPr>
      </w:pPr>
    </w:p>
    <w:p w14:paraId="22A52B62">
      <w:pPr>
        <w:jc w:val="center"/>
        <w:rPr>
          <w:rFonts w:hint="eastAsia" w:ascii="Times New Roman" w:hAnsi="Times New Roman" w:eastAsia="黑体" w:cs="Times New Roman"/>
          <w:b/>
          <w:color w:val="auto"/>
          <w:kern w:val="0"/>
          <w:sz w:val="44"/>
          <w:szCs w:val="44"/>
          <w:lang w:val="en-US" w:eastAsia="zh-CN" w:bidi="ar-SA"/>
        </w:rPr>
      </w:pPr>
    </w:p>
    <w:p w14:paraId="3A3205B4">
      <w:pPr>
        <w:jc w:val="center"/>
        <w:outlineLvl w:val="0"/>
        <w:rPr>
          <w:rFonts w:hint="eastAsia" w:ascii="Times New Roman" w:hAnsi="Times New Roman" w:eastAsia="黑体" w:cs="Times New Roman"/>
          <w:b/>
          <w:color w:val="auto"/>
          <w:kern w:val="0"/>
          <w:sz w:val="44"/>
          <w:szCs w:val="44"/>
          <w:lang w:val="en-US" w:eastAsia="zh-CN" w:bidi="ar-SA"/>
        </w:rPr>
      </w:pPr>
      <w:r>
        <w:rPr>
          <w:rFonts w:hint="eastAsia" w:ascii="Times New Roman" w:hAnsi="Times New Roman" w:eastAsia="黑体" w:cs="Times New Roman"/>
          <w:b w:val="0"/>
          <w:bCs/>
          <w:color w:val="auto"/>
          <w:kern w:val="0"/>
          <w:sz w:val="44"/>
          <w:szCs w:val="44"/>
          <w:lang w:val="en-US" w:eastAsia="zh-CN" w:bidi="ar-SA"/>
        </w:rPr>
        <w:t>丙烯酸单位产品能耗和碳排放限额</w:t>
      </w:r>
    </w:p>
    <w:p w14:paraId="6B197C3D">
      <w:pPr>
        <w:jc w:val="center"/>
        <w:outlineLvl w:val="0"/>
        <w:rPr>
          <w:rFonts w:hint="eastAsia" w:ascii="Times New Roman" w:hAnsi="Times New Roman" w:eastAsia="黑体" w:cs="Times New Roman"/>
          <w:b/>
          <w:color w:val="auto"/>
          <w:kern w:val="0"/>
          <w:sz w:val="52"/>
          <w:szCs w:val="52"/>
          <w:lang w:val="en-US" w:eastAsia="zh-CN" w:bidi="ar-SA"/>
        </w:rPr>
      </w:pPr>
      <w:r>
        <w:rPr>
          <w:rFonts w:hint="eastAsia" w:ascii="Times New Roman" w:hAnsi="Times New Roman" w:eastAsia="黑体" w:cs="Times New Roman"/>
          <w:b/>
          <w:color w:val="auto"/>
          <w:kern w:val="0"/>
          <w:sz w:val="52"/>
          <w:szCs w:val="52"/>
          <w:lang w:val="en-US" w:eastAsia="zh-CN" w:bidi="ar-SA"/>
        </w:rPr>
        <w:t>团体标准编制说明</w:t>
      </w:r>
    </w:p>
    <w:p w14:paraId="37F628AA">
      <w:pPr>
        <w:jc w:val="center"/>
        <w:rPr>
          <w:rFonts w:hint="eastAsia" w:ascii="Times New Roman" w:hAnsi="Times New Roman" w:eastAsia="黑体" w:cs="Times New Roman"/>
          <w:b/>
          <w:color w:val="auto"/>
          <w:kern w:val="0"/>
          <w:sz w:val="52"/>
          <w:szCs w:val="52"/>
          <w:lang w:val="en-US" w:eastAsia="zh-CN" w:bidi="ar-SA"/>
        </w:rPr>
      </w:pPr>
    </w:p>
    <w:p w14:paraId="40A401E9">
      <w:pPr>
        <w:jc w:val="center"/>
        <w:rPr>
          <w:rFonts w:hint="eastAsia" w:ascii="Times New Roman" w:hAnsi="Times New Roman" w:eastAsia="黑体" w:cs="Times New Roman"/>
          <w:b/>
          <w:color w:val="auto"/>
          <w:kern w:val="0"/>
          <w:sz w:val="52"/>
          <w:szCs w:val="52"/>
          <w:lang w:val="en-US" w:eastAsia="zh-CN" w:bidi="ar-SA"/>
        </w:rPr>
      </w:pPr>
    </w:p>
    <w:p w14:paraId="43ABA023">
      <w:pPr>
        <w:jc w:val="center"/>
        <w:rPr>
          <w:rFonts w:hint="eastAsia" w:ascii="Times New Roman" w:hAnsi="Times New Roman" w:eastAsia="黑体" w:cs="Times New Roman"/>
          <w:b/>
          <w:color w:val="auto"/>
          <w:kern w:val="0"/>
          <w:sz w:val="52"/>
          <w:szCs w:val="52"/>
          <w:lang w:val="en-US" w:eastAsia="zh-CN" w:bidi="ar-SA"/>
        </w:rPr>
      </w:pPr>
    </w:p>
    <w:p w14:paraId="0DDCD270">
      <w:pPr>
        <w:jc w:val="center"/>
        <w:rPr>
          <w:rFonts w:hint="eastAsia" w:ascii="Times New Roman" w:hAnsi="Times New Roman" w:eastAsia="黑体" w:cs="Times New Roman"/>
          <w:b/>
          <w:color w:val="auto"/>
          <w:kern w:val="0"/>
          <w:sz w:val="52"/>
          <w:szCs w:val="52"/>
          <w:lang w:val="en-US" w:eastAsia="zh-CN" w:bidi="ar-SA"/>
        </w:rPr>
      </w:pPr>
    </w:p>
    <w:p w14:paraId="2510AE96">
      <w:pPr>
        <w:jc w:val="center"/>
        <w:rPr>
          <w:rFonts w:hint="eastAsia" w:ascii="Times New Roman" w:hAnsi="Times New Roman" w:eastAsia="黑体" w:cs="Times New Roman"/>
          <w:b/>
          <w:color w:val="auto"/>
          <w:kern w:val="0"/>
          <w:sz w:val="52"/>
          <w:szCs w:val="52"/>
          <w:lang w:val="en-US" w:eastAsia="zh-CN" w:bidi="ar-SA"/>
        </w:rPr>
      </w:pPr>
    </w:p>
    <w:p w14:paraId="5752AA92">
      <w:pPr>
        <w:jc w:val="center"/>
        <w:rPr>
          <w:rFonts w:hint="eastAsia" w:ascii="Times New Roman" w:hAnsi="Times New Roman" w:eastAsia="黑体" w:cs="Times New Roman"/>
          <w:b/>
          <w:color w:val="auto"/>
          <w:kern w:val="0"/>
          <w:sz w:val="52"/>
          <w:szCs w:val="52"/>
          <w:lang w:val="en-US" w:eastAsia="zh-CN" w:bidi="ar-SA"/>
        </w:rPr>
      </w:pPr>
    </w:p>
    <w:p w14:paraId="096E9C7A">
      <w:pPr>
        <w:jc w:val="center"/>
        <w:rPr>
          <w:rFonts w:hint="eastAsia" w:ascii="Times New Roman" w:hAnsi="Times New Roman" w:eastAsia="黑体" w:cs="Times New Roman"/>
          <w:b/>
          <w:color w:val="auto"/>
          <w:kern w:val="0"/>
          <w:sz w:val="52"/>
          <w:szCs w:val="52"/>
          <w:lang w:val="en-US" w:eastAsia="zh-CN" w:bidi="ar-SA"/>
        </w:rPr>
      </w:pPr>
    </w:p>
    <w:p w14:paraId="20C1CF83">
      <w:pPr>
        <w:jc w:val="center"/>
        <w:rPr>
          <w:rFonts w:hint="eastAsia" w:ascii="Times New Roman" w:hAnsi="Times New Roman" w:eastAsia="黑体" w:cs="Times New Roman"/>
          <w:b/>
          <w:color w:val="auto"/>
          <w:kern w:val="0"/>
          <w:sz w:val="52"/>
          <w:szCs w:val="52"/>
          <w:lang w:val="en-US" w:eastAsia="zh-CN" w:bidi="ar-SA"/>
        </w:rPr>
      </w:pPr>
    </w:p>
    <w:p w14:paraId="04C46704">
      <w:pPr>
        <w:jc w:val="center"/>
        <w:rPr>
          <w:rFonts w:hint="eastAsia" w:ascii="Times New Roman" w:hAnsi="Times New Roman" w:eastAsia="黑体" w:cs="Times New Roman"/>
          <w:b/>
          <w:color w:val="auto"/>
          <w:kern w:val="0"/>
          <w:sz w:val="52"/>
          <w:szCs w:val="52"/>
          <w:lang w:val="en-US" w:eastAsia="zh-CN" w:bidi="ar-SA"/>
        </w:rPr>
      </w:pPr>
    </w:p>
    <w:p w14:paraId="0D854B60">
      <w:pPr>
        <w:jc w:val="center"/>
        <w:rPr>
          <w:rFonts w:hint="eastAsia" w:ascii="Times New Roman" w:hAnsi="Times New Roman" w:eastAsia="黑体" w:cs="Times New Roman"/>
          <w:b/>
          <w:color w:val="auto"/>
          <w:kern w:val="0"/>
          <w:sz w:val="32"/>
          <w:szCs w:val="32"/>
          <w:lang w:val="en-US" w:eastAsia="zh-CN" w:bidi="ar-SA"/>
        </w:rPr>
      </w:pPr>
    </w:p>
    <w:p w14:paraId="31D0E3D3">
      <w:pPr>
        <w:jc w:val="center"/>
        <w:rPr>
          <w:rFonts w:hint="eastAsia" w:ascii="Times New Roman" w:hAnsi="Times New Roman" w:eastAsia="黑体" w:cs="Times New Roman"/>
          <w:b/>
          <w:color w:val="auto"/>
          <w:kern w:val="0"/>
          <w:sz w:val="32"/>
          <w:szCs w:val="32"/>
          <w:lang w:val="en-US" w:eastAsia="zh-CN" w:bidi="ar-SA"/>
        </w:rPr>
      </w:pPr>
      <w:r>
        <w:rPr>
          <w:rFonts w:hint="eastAsia" w:ascii="Times New Roman" w:hAnsi="Times New Roman" w:eastAsia="黑体" w:cs="Times New Roman"/>
          <w:b/>
          <w:color w:val="auto"/>
          <w:kern w:val="0"/>
          <w:sz w:val="32"/>
          <w:szCs w:val="32"/>
          <w:lang w:val="en-US" w:eastAsia="zh-CN" w:bidi="ar-SA"/>
        </w:rPr>
        <w:t>标准起草小组编制</w:t>
      </w:r>
    </w:p>
    <w:p w14:paraId="3DACFF3A">
      <w:pPr>
        <w:jc w:val="center"/>
        <w:rPr>
          <w:rFonts w:hint="eastAsia" w:ascii="Times New Roman" w:hAnsi="Times New Roman" w:eastAsia="黑体" w:cs="Times New Roman"/>
          <w:b/>
          <w:color w:val="auto"/>
          <w:kern w:val="0"/>
          <w:sz w:val="32"/>
          <w:szCs w:val="32"/>
          <w:lang w:val="en-US" w:eastAsia="zh-CN" w:bidi="ar-SA"/>
        </w:rPr>
        <w:sectPr>
          <w:footerReference r:id="rId3" w:type="default"/>
          <w:pgSz w:w="11906" w:h="16838"/>
          <w:pgMar w:top="1440" w:right="1800" w:bottom="1440" w:left="1800" w:header="851" w:footer="992" w:gutter="0"/>
          <w:cols w:space="425" w:num="1"/>
          <w:docGrid w:type="lines" w:linePitch="312" w:charSpace="0"/>
        </w:sectPr>
      </w:pPr>
      <w:r>
        <w:rPr>
          <w:rFonts w:hint="eastAsia" w:ascii="Times New Roman" w:hAnsi="Times New Roman" w:eastAsia="黑体" w:cs="Times New Roman"/>
          <w:b/>
          <w:color w:val="auto"/>
          <w:kern w:val="0"/>
          <w:sz w:val="32"/>
          <w:szCs w:val="32"/>
          <w:lang w:val="en-US" w:eastAsia="zh-CN" w:bidi="ar-SA"/>
        </w:rPr>
        <w:t>二〇二六年七月</w:t>
      </w:r>
    </w:p>
    <w:p w14:paraId="18091EAE">
      <w:pPr>
        <w:ind w:firstLine="643" w:firstLineChars="200"/>
        <w:jc w:val="both"/>
        <w:outlineLvl w:val="0"/>
        <w:rPr>
          <w:rFonts w:hint="eastAsia" w:ascii="Times New Roman" w:hAnsi="Times New Roman" w:eastAsia="黑体" w:cs="Times New Roman"/>
          <w:b/>
          <w:color w:val="auto"/>
          <w:kern w:val="0"/>
          <w:sz w:val="32"/>
          <w:szCs w:val="32"/>
          <w:lang w:val="en-US" w:eastAsia="zh-CN" w:bidi="ar-SA"/>
        </w:rPr>
      </w:pPr>
      <w:r>
        <w:rPr>
          <w:rFonts w:hint="eastAsia" w:ascii="Times New Roman" w:hAnsi="Times New Roman" w:eastAsia="黑体" w:cs="Times New Roman"/>
          <w:b/>
          <w:color w:val="auto"/>
          <w:kern w:val="0"/>
          <w:sz w:val="32"/>
          <w:szCs w:val="32"/>
          <w:lang w:val="en-US" w:eastAsia="zh-CN" w:bidi="ar-SA"/>
        </w:rPr>
        <w:t>一、目的和意义</w:t>
      </w:r>
    </w:p>
    <w:p w14:paraId="13526768">
      <w:pPr>
        <w:ind w:firstLine="600" w:firstLineChars="200"/>
        <w:jc w:val="left"/>
        <w:rPr>
          <w:rFonts w:hint="eastAsia" w:eastAsiaTheme="minorEastAsia"/>
          <w:color w:val="auto"/>
          <w:lang w:eastAsia="zh-CN"/>
        </w:rPr>
      </w:pPr>
      <w:r>
        <w:rPr>
          <w:rFonts w:hint="eastAsia" w:ascii="仿宋" w:hAnsi="仿宋" w:eastAsia="仿宋" w:cs="仿宋"/>
          <w:b w:val="0"/>
          <w:bCs/>
          <w:color w:val="auto"/>
          <w:kern w:val="0"/>
          <w:sz w:val="30"/>
          <w:szCs w:val="30"/>
          <w:lang w:val="en-US" w:eastAsia="zh-CN" w:bidi="ar-SA"/>
        </w:rPr>
        <w:t>2021年以来，国家发展改革委、市场监管总局等部门积极推动强制性能耗限额标准更新升级，多次组织召开相关标准推进工作会议。全国能源基础与管理标准化技术委员会秘书处依托中国标准化研究院资源与环境分院，将进一步加大工作力度，以国际领跑水平为对标基准，加快制修订科学先进的系列能耗限额标准，助力节能降碳目标落地。</w:t>
      </w:r>
    </w:p>
    <w:p w14:paraId="5FAA51F4">
      <w:pPr>
        <w:ind w:firstLine="600" w:firstLineChars="200"/>
        <w:jc w:val="left"/>
        <w:rPr>
          <w:rFonts w:hint="eastAsia" w:ascii="仿宋" w:hAnsi="仿宋" w:eastAsia="仿宋" w:cs="仿宋"/>
          <w:b w:val="0"/>
          <w:bCs/>
          <w:color w:val="auto"/>
          <w:kern w:val="0"/>
          <w:sz w:val="30"/>
          <w:szCs w:val="30"/>
          <w:lang w:val="en-US" w:eastAsia="zh-CN" w:bidi="ar-SA"/>
        </w:rPr>
      </w:pPr>
      <w:r>
        <w:rPr>
          <w:rFonts w:hint="eastAsia" w:ascii="仿宋" w:hAnsi="仿宋" w:eastAsia="仿宋" w:cs="仿宋"/>
          <w:b w:val="0"/>
          <w:bCs/>
          <w:color w:val="auto"/>
          <w:kern w:val="0"/>
          <w:sz w:val="30"/>
          <w:szCs w:val="30"/>
          <w:lang w:val="en-US" w:eastAsia="zh-CN" w:bidi="ar-SA"/>
        </w:rPr>
        <w:t>立足我国丙烯酸产业发展实际与“双碳”目标全局，本标准严格落实国家关于制修订能耗限额标准的部署要求，主动适配能耗双控向碳排放双控全面转型的政策导向，填补行业能耗与碳排放协同管控的标准空白，构建科学统一、可落地的管控体系，旨在实现三大核心目标。当前，国家正加快推进能耗限额标准更新升级，抓紧修订重点行业能耗限额强制性国家标准，扩大标准覆盖范围、提升管控要求；同时，按照《加快构建碳排放双控制度体系工作方案》部署，推动能耗双控向碳排放总量和强度双控转变。本标准的制定既是响应上述两项核心政策的具体实践，也是完善化工行业能耗限额标准体系的重要举措，更是衔接碳双控制度、推动行业低碳转型的关键抓手。通过规范行业能耗与碳排放管控，契合国家能耗限额标准修订“提升要求、规范核算”的核心导向，落实能耗双控转碳双控“科学精准管控、重点控制化石能源消费”的要求，明确丙烯酸生产单位产品能耗和碳排放的限定值、准入值及国际先进水平分级标准，为企业生产划定清晰的“绿色底线”与“提升标杆”，解决当前行业能耗水平参差不齐、碳排放核算不规范、管控缺乏统一依据等问题，推动行业从“规模扩张”向“质量效益+绿色低碳”转型。</w:t>
      </w:r>
    </w:p>
    <w:p w14:paraId="34E4972B">
      <w:pPr>
        <w:ind w:firstLine="600" w:firstLineChars="200"/>
        <w:jc w:val="left"/>
        <w:rPr>
          <w:rFonts w:hint="eastAsia" w:ascii="仿宋" w:hAnsi="仿宋" w:eastAsia="仿宋" w:cs="仿宋"/>
          <w:b w:val="0"/>
          <w:bCs/>
          <w:color w:val="auto"/>
          <w:kern w:val="0"/>
          <w:sz w:val="30"/>
          <w:szCs w:val="30"/>
          <w:lang w:val="en-US" w:eastAsia="zh-CN" w:bidi="ar-SA"/>
        </w:rPr>
      </w:pPr>
      <w:r>
        <w:rPr>
          <w:rFonts w:hint="eastAsia" w:ascii="仿宋" w:hAnsi="仿宋" w:eastAsia="仿宋" w:cs="仿宋"/>
          <w:b w:val="0"/>
          <w:bCs/>
          <w:color w:val="auto"/>
          <w:kern w:val="0"/>
          <w:sz w:val="30"/>
          <w:szCs w:val="30"/>
          <w:lang w:val="en-US" w:eastAsia="zh-CN" w:bidi="ar-SA"/>
        </w:rPr>
        <w:t>响应国家能耗限额标准修订“推动产能向高效低碳集中”的政策导向，衔接碳双控“强化重点行业碳排放管控、淘汰落后产能”的要求，本标准通过限额约束的倒逼作用，加速行业优化整合，推动产能向能效高、碳排放低的龙头企业集中，淘汰单套产能低、能耗高、污染重的落后装置，破解行业“大而不强”的困境。截至2025年，国内丙烯酸前五大企业合计产能占比约58%，远低于北美和西欧水平。通过设定差异化的能耗和碳排放限额指标，可引导企业淘汰落后生产工艺与设备，加大节能降碳技术研发和应用投入，推动丙烯酸生产向低碳化、高效化、绿色化转型。国家在能耗限额标准修订中，重点强化对高耗能行业的约束性要求，推动企业提升能效水平；而碳双控政策更注重从碳排放总量和强度双维度，推动产业结构优化和技术迭代。针对丙烯酸生产高度依赖传统丙烯氧化法、部分中小企业能效瓶颈突出的现状，本标准通过限额约束，推动企业优化原料结构、提升工艺水平，缩小与国际先进企业的差距，这既是落实能耗限额标准“提升先进水平、倒逼转型”的要求，也是响应碳双控“降低碳排放强度、推动低碳技术应用”的具体实践。</w:t>
      </w:r>
    </w:p>
    <w:p w14:paraId="22D9394A">
      <w:pPr>
        <w:ind w:firstLine="600" w:firstLineChars="200"/>
        <w:jc w:val="both"/>
        <w:rPr>
          <w:rFonts w:hint="eastAsia" w:eastAsiaTheme="minorEastAsia"/>
          <w:color w:val="auto"/>
          <w:lang w:eastAsia="zh-CN"/>
        </w:rPr>
      </w:pPr>
      <w:r>
        <w:rPr>
          <w:rFonts w:hint="eastAsia" w:ascii="仿宋" w:hAnsi="仿宋" w:eastAsia="仿宋" w:cs="仿宋"/>
          <w:b w:val="0"/>
          <w:bCs/>
          <w:color w:val="auto"/>
          <w:kern w:val="0"/>
          <w:sz w:val="30"/>
          <w:szCs w:val="30"/>
          <w:lang w:val="en-US" w:eastAsia="zh-CN" w:bidi="ar-SA"/>
        </w:rPr>
        <w:t>衔接国家“双碳”顶层设计，精准落实加强能耗限额标准制修订及能耗双控转碳双控的核心政策，将丙烯酸行业纳入全国能耗与碳排放双控制度体系，细化石化化工行业碳达峰实施方案的具体要求，确保行业碳达峰目标可量化、可考核、可实现，助力2030年前碳达峰、2060年前碳中和总体目标落地。同时，本标准助力完善石化化工行业标准体系，填补丙烯酸产品能耗与碳排放协同管控的标准空白，与《单位产品能源消耗限额编制通则》《工业企业温室气体排放核算和报告通则》等国家标准相衔接，形成“基础通则+行业专项”的完整标准体系，为政府监管提供科学依据，强化节能监察和执法的针对性，推动政策落地见效，助力政府实现能耗双控向碳双控的平稳转型，规范重点用能和碳排放单位管理。因此，制定《丙烯酸单位产品能耗和碳排放限额》具有重要的现实意义与必要性。</w:t>
      </w:r>
    </w:p>
    <w:p w14:paraId="3043058D">
      <w:pPr>
        <w:ind w:firstLine="643" w:firstLineChars="200"/>
        <w:jc w:val="both"/>
        <w:outlineLvl w:val="0"/>
        <w:rPr>
          <w:rFonts w:hint="default" w:ascii="Times New Roman" w:hAnsi="Times New Roman" w:eastAsia="黑体" w:cs="Times New Roman"/>
          <w:b/>
          <w:color w:val="auto"/>
          <w:kern w:val="0"/>
          <w:sz w:val="32"/>
          <w:szCs w:val="32"/>
          <w:lang w:val="en-US" w:eastAsia="zh-CN" w:bidi="ar-SA"/>
        </w:rPr>
      </w:pPr>
      <w:r>
        <w:rPr>
          <w:rFonts w:hint="eastAsia" w:ascii="Times New Roman" w:hAnsi="Times New Roman" w:eastAsia="黑体" w:cs="Times New Roman"/>
          <w:b/>
          <w:color w:val="auto"/>
          <w:kern w:val="0"/>
          <w:sz w:val="32"/>
          <w:szCs w:val="32"/>
          <w:lang w:val="en-US" w:eastAsia="zh-CN" w:bidi="ar-SA"/>
        </w:rPr>
        <w:t>二、任务来源</w:t>
      </w:r>
    </w:p>
    <w:p w14:paraId="014CA858">
      <w:pPr>
        <w:ind w:firstLine="600" w:firstLineChars="200"/>
        <w:jc w:val="both"/>
        <w:rPr>
          <w:rFonts w:hint="eastAsia" w:ascii="仿宋" w:hAnsi="仿宋" w:eastAsia="仿宋" w:cs="仿宋"/>
          <w:b w:val="0"/>
          <w:bCs/>
          <w:color w:val="auto"/>
          <w:kern w:val="0"/>
          <w:sz w:val="30"/>
          <w:szCs w:val="30"/>
          <w:lang w:val="en-US" w:eastAsia="zh-CN" w:bidi="ar-SA"/>
        </w:rPr>
      </w:pPr>
      <w:r>
        <w:rPr>
          <w:rFonts w:hint="eastAsia" w:ascii="仿宋" w:hAnsi="仿宋" w:eastAsia="仿宋" w:cs="仿宋"/>
          <w:b w:val="0"/>
          <w:bCs/>
          <w:color w:val="auto"/>
          <w:kern w:val="0"/>
          <w:sz w:val="30"/>
          <w:szCs w:val="30"/>
          <w:lang w:val="en-US" w:eastAsia="zh-CN" w:bidi="ar-SA"/>
        </w:rPr>
        <w:t>本标准的制定由广东省能源局提出，2026年1月7</w:t>
      </w:r>
      <w:bookmarkStart w:id="4" w:name="_GoBack"/>
      <w:bookmarkEnd w:id="4"/>
      <w:r>
        <w:rPr>
          <w:rFonts w:hint="eastAsia" w:ascii="仿宋" w:hAnsi="仿宋" w:eastAsia="仿宋" w:cs="仿宋"/>
          <w:b w:val="0"/>
          <w:bCs/>
          <w:color w:val="auto"/>
          <w:kern w:val="0"/>
          <w:sz w:val="30"/>
          <w:szCs w:val="30"/>
          <w:lang w:val="en-US" w:eastAsia="zh-CN" w:bidi="ar-SA"/>
        </w:rPr>
        <w:t>日，广东省石油和化学工业协会发布了《关于批准广东省石油和化学工业协会团体标准制订计划项目（第七批）的通知》（粤石化协</w:t>
      </w:r>
      <w:r>
        <w:rPr>
          <w:rFonts w:hint="eastAsia" w:ascii="宋体" w:hAnsi="宋体" w:eastAsia="宋体" w:cs="宋体"/>
          <w:b w:val="0"/>
          <w:bCs/>
          <w:color w:val="auto"/>
          <w:kern w:val="0"/>
          <w:sz w:val="30"/>
          <w:szCs w:val="30"/>
          <w:lang w:val="en-US" w:eastAsia="zh-CN" w:bidi="ar-SA"/>
        </w:rPr>
        <w:t>〔</w:t>
      </w:r>
      <w:r>
        <w:rPr>
          <w:rFonts w:hint="eastAsia" w:ascii="仿宋" w:hAnsi="仿宋" w:eastAsia="仿宋" w:cs="仿宋"/>
          <w:b w:val="0"/>
          <w:bCs/>
          <w:color w:val="auto"/>
          <w:kern w:val="0"/>
          <w:sz w:val="30"/>
          <w:szCs w:val="30"/>
          <w:lang w:val="en-US" w:eastAsia="zh-CN" w:bidi="ar-SA"/>
        </w:rPr>
        <w:t>2026</w:t>
      </w:r>
      <w:r>
        <w:rPr>
          <w:rFonts w:hint="eastAsia" w:ascii="宋体" w:hAnsi="宋体" w:eastAsia="宋体" w:cs="宋体"/>
          <w:b w:val="0"/>
          <w:bCs/>
          <w:color w:val="auto"/>
          <w:kern w:val="0"/>
          <w:sz w:val="30"/>
          <w:szCs w:val="30"/>
          <w:lang w:val="en-US" w:eastAsia="zh-CN" w:bidi="ar-SA"/>
        </w:rPr>
        <w:t>〕0</w:t>
      </w:r>
      <w:r>
        <w:rPr>
          <w:rFonts w:hint="eastAsia" w:ascii="仿宋" w:hAnsi="仿宋" w:eastAsia="仿宋" w:cs="仿宋"/>
          <w:b w:val="0"/>
          <w:bCs/>
          <w:color w:val="auto"/>
          <w:kern w:val="0"/>
          <w:sz w:val="30"/>
          <w:szCs w:val="30"/>
          <w:lang w:val="en-US" w:eastAsia="zh-CN" w:bidi="ar-SA"/>
        </w:rPr>
        <w:t>2号），批准该团体标准的立项。</w:t>
      </w:r>
    </w:p>
    <w:p w14:paraId="5CCB45F4">
      <w:pPr>
        <w:ind w:firstLine="600" w:firstLineChars="200"/>
        <w:jc w:val="both"/>
        <w:rPr>
          <w:rFonts w:hint="default" w:ascii="仿宋" w:hAnsi="仿宋" w:eastAsia="仿宋" w:cs="仿宋"/>
          <w:b w:val="0"/>
          <w:bCs/>
          <w:color w:val="auto"/>
          <w:kern w:val="0"/>
          <w:sz w:val="30"/>
          <w:szCs w:val="30"/>
          <w:lang w:val="en-US" w:eastAsia="zh-CN" w:bidi="ar-SA"/>
        </w:rPr>
      </w:pPr>
      <w:r>
        <w:rPr>
          <w:rFonts w:hint="eastAsia" w:ascii="仿宋" w:hAnsi="仿宋" w:eastAsia="仿宋" w:cs="仿宋"/>
          <w:b w:val="0"/>
          <w:bCs/>
          <w:color w:val="auto"/>
          <w:kern w:val="0"/>
          <w:sz w:val="30"/>
          <w:szCs w:val="30"/>
          <w:lang w:val="en-US" w:eastAsia="zh-CN" w:bidi="ar-SA"/>
        </w:rPr>
        <w:t>发起单位：广东省能源局。</w:t>
      </w:r>
    </w:p>
    <w:p w14:paraId="7BBC795E">
      <w:pPr>
        <w:ind w:firstLine="600" w:firstLineChars="200"/>
        <w:jc w:val="both"/>
        <w:rPr>
          <w:rFonts w:hint="eastAsia" w:ascii="仿宋" w:hAnsi="仿宋" w:eastAsia="仿宋" w:cs="仿宋"/>
          <w:b w:val="0"/>
          <w:bCs/>
          <w:color w:val="auto"/>
          <w:kern w:val="0"/>
          <w:sz w:val="30"/>
          <w:szCs w:val="30"/>
          <w:lang w:val="en-US" w:eastAsia="zh-CN" w:bidi="ar-SA"/>
        </w:rPr>
      </w:pPr>
      <w:r>
        <w:rPr>
          <w:rFonts w:hint="eastAsia" w:ascii="仿宋" w:hAnsi="仿宋" w:eastAsia="仿宋" w:cs="仿宋"/>
          <w:b w:val="0"/>
          <w:bCs/>
          <w:color w:val="auto"/>
          <w:kern w:val="0"/>
          <w:sz w:val="30"/>
          <w:szCs w:val="30"/>
          <w:lang w:val="en-US" w:eastAsia="zh-CN" w:bidi="ar-SA"/>
        </w:rPr>
        <w:t>归口单位：广东省石油和化学工业协会。</w:t>
      </w:r>
    </w:p>
    <w:p w14:paraId="41953990">
      <w:pPr>
        <w:ind w:firstLine="600" w:firstLineChars="200"/>
        <w:jc w:val="both"/>
        <w:rPr>
          <w:rFonts w:hint="default" w:ascii="仿宋" w:hAnsi="仿宋" w:eastAsia="仿宋" w:cs="仿宋"/>
          <w:b w:val="0"/>
          <w:bCs/>
          <w:color w:val="auto"/>
          <w:kern w:val="0"/>
          <w:sz w:val="30"/>
          <w:szCs w:val="30"/>
          <w:lang w:val="en-US" w:eastAsia="zh-CN" w:bidi="ar-SA"/>
        </w:rPr>
      </w:pPr>
      <w:r>
        <w:rPr>
          <w:rFonts w:hint="eastAsia" w:ascii="仿宋" w:hAnsi="仿宋" w:eastAsia="仿宋" w:cs="仿宋"/>
          <w:b w:val="0"/>
          <w:bCs/>
          <w:color w:val="auto"/>
          <w:kern w:val="0"/>
          <w:sz w:val="30"/>
          <w:szCs w:val="30"/>
          <w:lang w:val="en-US" w:eastAsia="zh-CN" w:bidi="ar-SA"/>
        </w:rPr>
        <w:t>牵头单位：广东信怡工程咨询有限公司。</w:t>
      </w:r>
    </w:p>
    <w:p w14:paraId="32C2FEDF">
      <w:pPr>
        <w:ind w:firstLine="643" w:firstLineChars="200"/>
        <w:jc w:val="both"/>
        <w:outlineLvl w:val="0"/>
        <w:rPr>
          <w:rFonts w:hint="default" w:ascii="Times New Roman" w:hAnsi="Times New Roman" w:eastAsia="黑体" w:cs="Times New Roman"/>
          <w:b/>
          <w:color w:val="auto"/>
          <w:kern w:val="0"/>
          <w:sz w:val="32"/>
          <w:szCs w:val="32"/>
          <w:lang w:val="en-US" w:eastAsia="zh-CN" w:bidi="ar-SA"/>
        </w:rPr>
      </w:pPr>
      <w:r>
        <w:rPr>
          <w:rFonts w:hint="default" w:ascii="Times New Roman" w:hAnsi="Times New Roman" w:eastAsia="黑体" w:cs="Times New Roman"/>
          <w:b/>
          <w:color w:val="auto"/>
          <w:kern w:val="0"/>
          <w:sz w:val="32"/>
          <w:szCs w:val="32"/>
          <w:lang w:val="en-US" w:eastAsia="zh-CN" w:bidi="ar-SA"/>
        </w:rPr>
        <w:t>三、相关标准及</w:t>
      </w:r>
      <w:r>
        <w:rPr>
          <w:rFonts w:hint="eastAsia" w:ascii="Times New Roman" w:hAnsi="Times New Roman" w:eastAsia="黑体" w:cs="Times New Roman"/>
          <w:b/>
          <w:color w:val="auto"/>
          <w:kern w:val="0"/>
          <w:sz w:val="32"/>
          <w:szCs w:val="32"/>
          <w:lang w:val="en-US" w:eastAsia="zh-CN" w:bidi="ar-SA"/>
        </w:rPr>
        <w:t>引用文件</w:t>
      </w:r>
    </w:p>
    <w:p w14:paraId="1448FC09">
      <w:pPr>
        <w:pStyle w:val="2"/>
        <w:keepNext w:val="0"/>
        <w:keepLines w:val="0"/>
        <w:pageBreakBefore w:val="0"/>
        <w:widowControl w:val="0"/>
        <w:kinsoku/>
        <w:wordWrap/>
        <w:overflowPunct/>
        <w:topLinePunct w:val="0"/>
        <w:bidi w:val="0"/>
        <w:adjustRightInd/>
        <w:snapToGrid/>
        <w:spacing w:line="560" w:lineRule="exact"/>
        <w:ind w:firstLine="560"/>
        <w:textAlignment w:val="auto"/>
        <w:outlineLvl w:val="1"/>
        <w:rPr>
          <w:rFonts w:hint="eastAsia" w:ascii="楷体" w:hAnsi="楷体" w:eastAsia="楷体" w:cs="楷体"/>
          <w:b/>
          <w:bCs w:val="0"/>
          <w:color w:val="auto"/>
          <w:kern w:val="0"/>
          <w:sz w:val="32"/>
          <w:szCs w:val="32"/>
          <w:lang w:val="en-US" w:eastAsia="zh-CN" w:bidi="ar-SA"/>
        </w:rPr>
      </w:pPr>
      <w:r>
        <w:rPr>
          <w:rFonts w:hint="eastAsia" w:ascii="楷体" w:hAnsi="楷体" w:eastAsia="楷体" w:cs="楷体"/>
          <w:b/>
          <w:bCs w:val="0"/>
          <w:color w:val="auto"/>
          <w:kern w:val="0"/>
          <w:sz w:val="32"/>
          <w:szCs w:val="32"/>
          <w:lang w:val="en-US" w:eastAsia="zh-CN" w:bidi="ar-SA"/>
        </w:rPr>
        <w:t>（一）相关标准</w:t>
      </w:r>
    </w:p>
    <w:p w14:paraId="52847E9C">
      <w:pPr>
        <w:pStyle w:val="2"/>
        <w:keepNext w:val="0"/>
        <w:keepLines w:val="0"/>
        <w:pageBreakBefore w:val="0"/>
        <w:widowControl w:val="0"/>
        <w:kinsoku/>
        <w:wordWrap/>
        <w:overflowPunct/>
        <w:topLinePunct w:val="0"/>
        <w:bidi w:val="0"/>
        <w:adjustRightInd/>
        <w:snapToGrid/>
        <w:spacing w:line="560" w:lineRule="exact"/>
        <w:ind w:firstLine="560"/>
        <w:textAlignment w:val="auto"/>
        <w:rPr>
          <w:rFonts w:hint="default" w:ascii="仿宋" w:hAnsi="仿宋" w:eastAsia="仿宋" w:cs="仿宋"/>
          <w:b w:val="0"/>
          <w:bCs/>
          <w:color w:val="auto"/>
          <w:kern w:val="0"/>
          <w:sz w:val="30"/>
          <w:szCs w:val="30"/>
          <w:lang w:val="en-US" w:eastAsia="zh-CN" w:bidi="ar-SA"/>
        </w:rPr>
      </w:pPr>
      <w:r>
        <w:rPr>
          <w:rFonts w:hint="default" w:ascii="仿宋" w:hAnsi="仿宋" w:eastAsia="仿宋" w:cs="仿宋"/>
          <w:b w:val="0"/>
          <w:bCs/>
          <w:color w:val="auto"/>
          <w:kern w:val="0"/>
          <w:sz w:val="30"/>
          <w:szCs w:val="30"/>
          <w:lang w:val="en-US" w:eastAsia="zh-CN" w:bidi="ar-SA"/>
        </w:rPr>
        <w:t>截至标准工作开展前，国家</w:t>
      </w:r>
      <w:r>
        <w:rPr>
          <w:rFonts w:hint="eastAsia" w:ascii="仿宋" w:hAnsi="仿宋" w:eastAsia="仿宋" w:cs="仿宋"/>
          <w:b w:val="0"/>
          <w:bCs/>
          <w:color w:val="auto"/>
          <w:kern w:val="0"/>
          <w:sz w:val="30"/>
          <w:szCs w:val="30"/>
          <w:lang w:val="en-US" w:eastAsia="zh-CN" w:bidi="ar-SA"/>
        </w:rPr>
        <w:t>、地市、行业均</w:t>
      </w:r>
      <w:r>
        <w:rPr>
          <w:rFonts w:hint="default" w:ascii="仿宋" w:hAnsi="仿宋" w:eastAsia="仿宋" w:cs="仿宋"/>
          <w:b w:val="0"/>
          <w:bCs/>
          <w:color w:val="auto"/>
          <w:kern w:val="0"/>
          <w:sz w:val="30"/>
          <w:szCs w:val="30"/>
          <w:lang w:val="en-US" w:eastAsia="zh-CN" w:bidi="ar-SA"/>
        </w:rPr>
        <w:t>未制定</w:t>
      </w:r>
      <w:r>
        <w:rPr>
          <w:rFonts w:hint="eastAsia" w:ascii="仿宋" w:hAnsi="仿宋" w:eastAsia="仿宋" w:cs="仿宋"/>
          <w:b w:val="0"/>
          <w:bCs/>
          <w:color w:val="auto"/>
          <w:kern w:val="0"/>
          <w:sz w:val="30"/>
          <w:szCs w:val="30"/>
          <w:lang w:val="en-US" w:eastAsia="zh-CN" w:bidi="ar-SA"/>
        </w:rPr>
        <w:t>丙烯酸装置</w:t>
      </w:r>
      <w:r>
        <w:rPr>
          <w:rFonts w:hint="default" w:ascii="仿宋" w:hAnsi="仿宋" w:eastAsia="仿宋" w:cs="仿宋"/>
          <w:b w:val="0"/>
          <w:bCs/>
          <w:color w:val="auto"/>
          <w:kern w:val="0"/>
          <w:sz w:val="30"/>
          <w:szCs w:val="30"/>
          <w:lang w:val="en-US" w:eastAsia="zh-CN" w:bidi="ar-SA"/>
        </w:rPr>
        <w:t>的能耗标准。</w:t>
      </w:r>
    </w:p>
    <w:p w14:paraId="10DAE794">
      <w:pPr>
        <w:pStyle w:val="2"/>
        <w:keepNext w:val="0"/>
        <w:keepLines w:val="0"/>
        <w:pageBreakBefore w:val="0"/>
        <w:widowControl w:val="0"/>
        <w:kinsoku/>
        <w:wordWrap/>
        <w:overflowPunct/>
        <w:topLinePunct w:val="0"/>
        <w:bidi w:val="0"/>
        <w:adjustRightInd/>
        <w:snapToGrid/>
        <w:spacing w:line="560" w:lineRule="exact"/>
        <w:ind w:firstLine="560"/>
        <w:textAlignment w:val="auto"/>
        <w:rPr>
          <w:rFonts w:hint="default" w:ascii="仿宋" w:hAnsi="仿宋" w:eastAsia="仿宋" w:cs="仿宋"/>
          <w:b w:val="0"/>
          <w:bCs/>
          <w:color w:val="auto"/>
          <w:kern w:val="0"/>
          <w:sz w:val="30"/>
          <w:szCs w:val="30"/>
          <w:highlight w:val="none"/>
          <w:lang w:val="en-US" w:eastAsia="zh-CN" w:bidi="ar-SA"/>
        </w:rPr>
      </w:pPr>
      <w:r>
        <w:rPr>
          <w:rFonts w:hint="eastAsia" w:ascii="仿宋" w:hAnsi="仿宋" w:eastAsia="仿宋" w:cs="仿宋"/>
          <w:b w:val="0"/>
          <w:bCs/>
          <w:color w:val="auto"/>
          <w:kern w:val="0"/>
          <w:sz w:val="30"/>
          <w:szCs w:val="30"/>
          <w:highlight w:val="none"/>
          <w:lang w:val="en-US" w:eastAsia="zh-CN" w:bidi="ar-SA"/>
        </w:rPr>
        <w:t>广东省尚未制定该项地方标准，根据丙烯酸装置主流生产工艺丙烯氧化制丙烯酸及能耗双控向碳排放双控全面转型的政策导向，本标准的制定具有重要的现实意义和必要性。</w:t>
      </w:r>
    </w:p>
    <w:p w14:paraId="063EA0B8">
      <w:pPr>
        <w:pStyle w:val="2"/>
        <w:keepNext w:val="0"/>
        <w:keepLines w:val="0"/>
        <w:pageBreakBefore w:val="0"/>
        <w:widowControl w:val="0"/>
        <w:kinsoku/>
        <w:wordWrap/>
        <w:overflowPunct/>
        <w:topLinePunct w:val="0"/>
        <w:bidi w:val="0"/>
        <w:adjustRightInd/>
        <w:snapToGrid/>
        <w:spacing w:line="560" w:lineRule="exact"/>
        <w:ind w:firstLine="560"/>
        <w:textAlignment w:val="auto"/>
        <w:outlineLvl w:val="1"/>
        <w:rPr>
          <w:rFonts w:hint="default" w:ascii="楷体" w:hAnsi="楷体" w:eastAsia="楷体" w:cs="楷体"/>
          <w:b/>
          <w:bCs w:val="0"/>
          <w:color w:val="auto"/>
          <w:kern w:val="0"/>
          <w:sz w:val="32"/>
          <w:szCs w:val="32"/>
          <w:lang w:val="en-US" w:eastAsia="zh-CN" w:bidi="ar-SA"/>
        </w:rPr>
      </w:pPr>
      <w:r>
        <w:rPr>
          <w:rFonts w:hint="eastAsia" w:ascii="楷体" w:hAnsi="楷体" w:eastAsia="楷体" w:cs="楷体"/>
          <w:b/>
          <w:bCs w:val="0"/>
          <w:color w:val="auto"/>
          <w:kern w:val="0"/>
          <w:sz w:val="32"/>
          <w:szCs w:val="32"/>
          <w:lang w:val="en-US" w:eastAsia="zh-CN" w:bidi="ar-SA"/>
        </w:rPr>
        <w:t>（二）引用文件</w:t>
      </w:r>
    </w:p>
    <w:p w14:paraId="1480365F">
      <w:pPr>
        <w:keepNext w:val="0"/>
        <w:keepLines w:val="0"/>
        <w:pageBreakBefore w:val="0"/>
        <w:widowControl w:val="0"/>
        <w:numPr>
          <w:ilvl w:val="0"/>
          <w:numId w:val="2"/>
        </w:numPr>
        <w:kinsoku/>
        <w:wordWrap/>
        <w:overflowPunct/>
        <w:topLinePunct w:val="0"/>
        <w:autoSpaceDE/>
        <w:autoSpaceDN/>
        <w:bidi w:val="0"/>
        <w:adjustRightInd/>
        <w:snapToGrid/>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GB/T 476  ‌煤中碳和氢的测定方法</w:t>
      </w:r>
    </w:p>
    <w:p w14:paraId="3E8C3394">
      <w:pPr>
        <w:keepNext w:val="0"/>
        <w:keepLines w:val="0"/>
        <w:pageBreakBefore w:val="0"/>
        <w:widowControl w:val="0"/>
        <w:numPr>
          <w:ilvl w:val="0"/>
          <w:numId w:val="2"/>
        </w:numPr>
        <w:kinsoku/>
        <w:wordWrap/>
        <w:overflowPunct/>
        <w:topLinePunct w:val="0"/>
        <w:autoSpaceDE/>
        <w:autoSpaceDN/>
        <w:bidi w:val="0"/>
        <w:adjustRightInd/>
        <w:snapToGrid/>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GB/T 2589  综合能耗计算通则</w:t>
      </w:r>
    </w:p>
    <w:p w14:paraId="6FE3085F">
      <w:pPr>
        <w:keepNext w:val="0"/>
        <w:keepLines w:val="0"/>
        <w:pageBreakBefore w:val="0"/>
        <w:widowControl w:val="0"/>
        <w:numPr>
          <w:ilvl w:val="0"/>
          <w:numId w:val="2"/>
        </w:numPr>
        <w:kinsoku/>
        <w:wordWrap/>
        <w:overflowPunct/>
        <w:topLinePunct w:val="0"/>
        <w:autoSpaceDE/>
        <w:autoSpaceDN/>
        <w:bidi w:val="0"/>
        <w:adjustRightInd/>
        <w:snapToGrid/>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GB/T 8984  气体分析 气体中微量一氧化碳、二氧化碳和碳氢化合物含量的测定 火焰离子化气相色谱法</w:t>
      </w:r>
    </w:p>
    <w:p w14:paraId="3E51AC06">
      <w:pPr>
        <w:keepNext w:val="0"/>
        <w:keepLines w:val="0"/>
        <w:pageBreakBefore w:val="0"/>
        <w:widowControl w:val="0"/>
        <w:numPr>
          <w:ilvl w:val="0"/>
          <w:numId w:val="2"/>
        </w:numPr>
        <w:kinsoku/>
        <w:wordWrap/>
        <w:overflowPunct/>
        <w:topLinePunct w:val="0"/>
        <w:autoSpaceDE/>
        <w:autoSpaceDN/>
        <w:bidi w:val="0"/>
        <w:adjustRightInd/>
        <w:snapToGrid/>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GB/T 12723  单位产品能源消耗限额编制通则</w:t>
      </w:r>
    </w:p>
    <w:p w14:paraId="307CD0F4">
      <w:pPr>
        <w:keepNext w:val="0"/>
        <w:keepLines w:val="0"/>
        <w:pageBreakBefore w:val="0"/>
        <w:widowControl w:val="0"/>
        <w:numPr>
          <w:ilvl w:val="0"/>
          <w:numId w:val="2"/>
        </w:numPr>
        <w:kinsoku/>
        <w:wordWrap/>
        <w:overflowPunct/>
        <w:topLinePunct w:val="0"/>
        <w:autoSpaceDE/>
        <w:autoSpaceDN/>
        <w:bidi w:val="0"/>
        <w:adjustRightInd/>
        <w:snapToGrid/>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GB/T 13610  天然气的组成分析 气相色谱法</w:t>
      </w:r>
    </w:p>
    <w:p w14:paraId="5CCAA351">
      <w:pPr>
        <w:keepNext w:val="0"/>
        <w:keepLines w:val="0"/>
        <w:pageBreakBefore w:val="0"/>
        <w:widowControl w:val="0"/>
        <w:numPr>
          <w:ilvl w:val="0"/>
          <w:numId w:val="2"/>
        </w:numPr>
        <w:kinsoku/>
        <w:wordWrap/>
        <w:overflowPunct/>
        <w:topLinePunct w:val="0"/>
        <w:autoSpaceDE/>
        <w:autoSpaceDN/>
        <w:bidi w:val="0"/>
        <w:adjustRightInd/>
        <w:snapToGrid/>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GB/T 17529.1  工业用丙烯酸及酯第1部分：工业用丙烯酸</w:t>
      </w:r>
    </w:p>
    <w:p w14:paraId="134FB213">
      <w:pPr>
        <w:keepNext w:val="0"/>
        <w:keepLines w:val="0"/>
        <w:pageBreakBefore w:val="0"/>
        <w:widowControl w:val="0"/>
        <w:numPr>
          <w:ilvl w:val="0"/>
          <w:numId w:val="2"/>
        </w:numPr>
        <w:kinsoku/>
        <w:wordWrap/>
        <w:overflowPunct/>
        <w:topLinePunct w:val="0"/>
        <w:autoSpaceDE/>
        <w:autoSpaceDN/>
        <w:bidi w:val="0"/>
        <w:adjustRightInd/>
        <w:snapToGrid/>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GB/T 32150—2025  工业企业温室气体排放核算和报告通则</w:t>
      </w:r>
    </w:p>
    <w:p w14:paraId="4579C667">
      <w:pPr>
        <w:keepNext w:val="0"/>
        <w:keepLines w:val="0"/>
        <w:pageBreakBefore w:val="0"/>
        <w:widowControl w:val="0"/>
        <w:numPr>
          <w:ilvl w:val="0"/>
          <w:numId w:val="2"/>
        </w:numPr>
        <w:kinsoku/>
        <w:wordWrap/>
        <w:overflowPunct/>
        <w:topLinePunct w:val="0"/>
        <w:autoSpaceDE/>
        <w:autoSpaceDN/>
        <w:bidi w:val="0"/>
        <w:adjustRightInd/>
        <w:snapToGrid/>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GB/T 32151.10—2023  碳排放核算与报告要求第10部分：化工生产企业</w:t>
      </w:r>
    </w:p>
    <w:p w14:paraId="7235C9D5">
      <w:pPr>
        <w:keepNext w:val="0"/>
        <w:keepLines w:val="0"/>
        <w:pageBreakBefore w:val="0"/>
        <w:widowControl w:val="0"/>
        <w:numPr>
          <w:ilvl w:val="0"/>
          <w:numId w:val="2"/>
        </w:numPr>
        <w:kinsoku/>
        <w:wordWrap/>
        <w:overflowPunct/>
        <w:topLinePunct w:val="0"/>
        <w:autoSpaceDE/>
        <w:autoSpaceDN/>
        <w:bidi w:val="0"/>
        <w:adjustRightInd/>
        <w:snapToGrid/>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SH/T 0656  石油产品及润滑剂中碳、氢、氮的测定 元素分析仪法</w:t>
      </w:r>
    </w:p>
    <w:p w14:paraId="7050E84A">
      <w:pPr>
        <w:spacing w:line="360" w:lineRule="auto"/>
        <w:ind w:firstLine="643" w:firstLineChars="200"/>
        <w:jc w:val="both"/>
        <w:outlineLvl w:val="0"/>
        <w:rPr>
          <w:rFonts w:hint="default" w:ascii="Times New Roman" w:hAnsi="Times New Roman" w:eastAsia="黑体" w:cs="Times New Roman"/>
          <w:b/>
          <w:color w:val="auto"/>
          <w:kern w:val="0"/>
          <w:sz w:val="32"/>
          <w:szCs w:val="32"/>
          <w:lang w:val="en-US" w:eastAsia="zh-CN" w:bidi="ar-SA"/>
        </w:rPr>
      </w:pPr>
      <w:r>
        <w:rPr>
          <w:rFonts w:hint="eastAsia" w:ascii="Times New Roman" w:hAnsi="Times New Roman" w:eastAsia="黑体" w:cs="Times New Roman"/>
          <w:b/>
          <w:color w:val="auto"/>
          <w:kern w:val="0"/>
          <w:sz w:val="32"/>
          <w:szCs w:val="32"/>
          <w:lang w:val="en-US" w:eastAsia="zh-CN" w:bidi="ar-SA"/>
        </w:rPr>
        <w:t>四</w:t>
      </w:r>
      <w:r>
        <w:rPr>
          <w:rFonts w:hint="default" w:ascii="Times New Roman" w:hAnsi="Times New Roman" w:eastAsia="黑体" w:cs="Times New Roman"/>
          <w:b/>
          <w:color w:val="auto"/>
          <w:kern w:val="0"/>
          <w:sz w:val="32"/>
          <w:szCs w:val="32"/>
          <w:lang w:val="en-US" w:eastAsia="zh-CN" w:bidi="ar-SA"/>
        </w:rPr>
        <w:t>、工作过程</w:t>
      </w:r>
    </w:p>
    <w:p w14:paraId="755D9FC8">
      <w:pPr>
        <w:keepNext w:val="0"/>
        <w:keepLines w:val="0"/>
        <w:pageBreakBefore w:val="0"/>
        <w:widowControl w:val="0"/>
        <w:kinsoku/>
        <w:wordWrap/>
        <w:overflowPunct/>
        <w:topLinePunct w:val="0"/>
        <w:bidi w:val="0"/>
        <w:adjustRightInd/>
        <w:snapToGrid/>
        <w:spacing w:line="360" w:lineRule="auto"/>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在</w:t>
      </w:r>
      <w:r>
        <w:rPr>
          <w:rFonts w:hint="eastAsia" w:ascii="仿宋" w:hAnsi="仿宋" w:eastAsia="仿宋" w:cs="仿宋"/>
          <w:color w:val="auto"/>
          <w:sz w:val="30"/>
          <w:szCs w:val="30"/>
          <w:lang w:val="en-US" w:eastAsia="zh-CN"/>
        </w:rPr>
        <w:t>广东省能源局</w:t>
      </w:r>
      <w:r>
        <w:rPr>
          <w:rFonts w:hint="eastAsia" w:ascii="仿宋" w:hAnsi="仿宋" w:eastAsia="仿宋" w:cs="仿宋"/>
          <w:color w:val="auto"/>
          <w:sz w:val="30"/>
          <w:szCs w:val="30"/>
        </w:rPr>
        <w:t>下达标准</w:t>
      </w:r>
      <w:r>
        <w:rPr>
          <w:rFonts w:hint="eastAsia" w:ascii="仿宋" w:hAnsi="仿宋" w:eastAsia="仿宋" w:cs="仿宋"/>
          <w:color w:val="auto"/>
          <w:sz w:val="30"/>
          <w:szCs w:val="30"/>
          <w:lang w:val="en-US" w:eastAsia="zh-CN"/>
        </w:rPr>
        <w:t>编制任务</w:t>
      </w:r>
      <w:r>
        <w:rPr>
          <w:rFonts w:hint="eastAsia" w:ascii="仿宋" w:hAnsi="仿宋" w:eastAsia="仿宋" w:cs="仿宋"/>
          <w:color w:val="auto"/>
          <w:sz w:val="30"/>
          <w:szCs w:val="30"/>
        </w:rPr>
        <w:t>后，</w:t>
      </w:r>
      <w:r>
        <w:rPr>
          <w:rFonts w:hint="eastAsia" w:ascii="仿宋" w:hAnsi="仿宋" w:eastAsia="仿宋" w:cs="仿宋"/>
          <w:color w:val="auto"/>
          <w:sz w:val="30"/>
          <w:szCs w:val="30"/>
          <w:lang w:val="en-US" w:eastAsia="zh-CN"/>
        </w:rPr>
        <w:t>标准起草小组</w:t>
      </w:r>
      <w:r>
        <w:rPr>
          <w:rFonts w:hint="eastAsia" w:ascii="仿宋" w:hAnsi="仿宋" w:eastAsia="仿宋" w:cs="仿宋"/>
          <w:color w:val="auto"/>
          <w:sz w:val="30"/>
          <w:szCs w:val="30"/>
        </w:rPr>
        <w:t>马上制定工作计划，按计划开展标准</w:t>
      </w:r>
      <w:r>
        <w:rPr>
          <w:rFonts w:hint="eastAsia" w:ascii="仿宋" w:hAnsi="仿宋" w:eastAsia="仿宋" w:cs="仿宋"/>
          <w:color w:val="auto"/>
          <w:sz w:val="30"/>
          <w:szCs w:val="30"/>
          <w:lang w:val="en-US" w:eastAsia="zh-CN"/>
        </w:rPr>
        <w:t>制订</w:t>
      </w:r>
      <w:r>
        <w:rPr>
          <w:rFonts w:hint="eastAsia" w:ascii="仿宋" w:hAnsi="仿宋" w:eastAsia="仿宋" w:cs="仿宋"/>
          <w:color w:val="auto"/>
          <w:sz w:val="30"/>
          <w:szCs w:val="30"/>
        </w:rPr>
        <w:t>工作。</w:t>
      </w:r>
    </w:p>
    <w:p w14:paraId="072FEEA1">
      <w:pPr>
        <w:keepNext w:val="0"/>
        <w:keepLines w:val="0"/>
        <w:pageBreakBefore w:val="0"/>
        <w:widowControl w:val="0"/>
        <w:kinsoku/>
        <w:wordWrap/>
        <w:overflowPunct/>
        <w:topLinePunct w:val="0"/>
        <w:bidi w:val="0"/>
        <w:adjustRightInd/>
        <w:snapToGrid/>
        <w:spacing w:line="360" w:lineRule="auto"/>
        <w:ind w:firstLine="600" w:firstLineChars="200"/>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2025年11月6日，发布团体标准参编邀请函，并于2025年11月30日完成参编单位邀请，一共5家单位参编本标准。</w:t>
      </w:r>
    </w:p>
    <w:p w14:paraId="20BD1988">
      <w:pPr>
        <w:keepNext w:val="0"/>
        <w:keepLines w:val="0"/>
        <w:pageBreakBefore w:val="0"/>
        <w:widowControl w:val="0"/>
        <w:kinsoku/>
        <w:wordWrap/>
        <w:overflowPunct/>
        <w:topLinePunct w:val="0"/>
        <w:bidi w:val="0"/>
        <w:adjustRightInd/>
        <w:snapToGrid/>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202</w:t>
      </w: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年</w:t>
      </w: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月，</w:t>
      </w:r>
      <w:r>
        <w:rPr>
          <w:rFonts w:hint="eastAsia" w:ascii="仿宋" w:hAnsi="仿宋" w:eastAsia="仿宋" w:cs="仿宋"/>
          <w:color w:val="auto"/>
          <w:sz w:val="30"/>
          <w:szCs w:val="30"/>
          <w:lang w:val="en-US" w:eastAsia="zh-CN"/>
        </w:rPr>
        <w:t>调研了巴斯夫一体化基地（广东）有限公司参编用能单位。</w:t>
      </w:r>
    </w:p>
    <w:p w14:paraId="276841A7">
      <w:pPr>
        <w:keepNext w:val="0"/>
        <w:keepLines w:val="0"/>
        <w:pageBreakBefore w:val="0"/>
        <w:widowControl w:val="0"/>
        <w:kinsoku/>
        <w:wordWrap/>
        <w:overflowPunct/>
        <w:topLinePunct w:val="0"/>
        <w:bidi w:val="0"/>
        <w:adjustRightInd/>
        <w:snapToGrid/>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2026年2月，调研了广东省丙烯酸已投产企业中海油惠州石化有限公司。</w:t>
      </w:r>
    </w:p>
    <w:p w14:paraId="1A23B8F5">
      <w:pPr>
        <w:keepNext w:val="0"/>
        <w:keepLines w:val="0"/>
        <w:pageBreakBefore w:val="0"/>
        <w:widowControl w:val="0"/>
        <w:kinsoku/>
        <w:wordWrap/>
        <w:overflowPunct/>
        <w:topLinePunct w:val="0"/>
        <w:bidi w:val="0"/>
        <w:adjustRightInd/>
        <w:snapToGrid/>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2026年2月至4月，一是通过梳理现有政策文件、标准规范、统计报告和研究文献等，收集丙烯酸装置反应原理、工艺流程、主要用能影响因素、二氧化碳排放情况、相关节能措施等资料，分析丙烯酸生产企业现状，分析其存在问题和未来发展趋势，为明确标准范围和内容框架提供参考基础。二是继续调研广东省新建、在建丙烯酸装置企业，主要调研了广东长鸿艾凯茵科技有限公司、揭阳巨正源科技有限公司，汇总分析各企业的用能工艺、用能结构、能源消耗、能效水平、碳排放等参数，为标准的制定提供充分的支撑依据；三是与广东省节能中心、惠州市节能中心、湛江市节能中心、巴斯夫一体化基地（广东）有限公司、广东长鸿艾凯茵科技有限公司等参编单位及中海油惠州石化有限公司用能单位进行深入交流，进一步获取相关的信息和资料。</w:t>
      </w:r>
    </w:p>
    <w:p w14:paraId="56DD59C5">
      <w:pPr>
        <w:keepNext w:val="0"/>
        <w:keepLines w:val="0"/>
        <w:pageBreakBefore w:val="0"/>
        <w:widowControl w:val="0"/>
        <w:kinsoku/>
        <w:wordWrap/>
        <w:overflowPunct/>
        <w:topLinePunct w:val="0"/>
        <w:bidi w:val="0"/>
        <w:adjustRightInd/>
        <w:snapToGrid/>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2026年5月至6月，根据前期调研与研究成果，完成标准（征求意见稿）初稿的编制，并公开征集参编单位对标准（征求意见稿）初稿的修改意见和建议。</w:t>
      </w:r>
    </w:p>
    <w:p w14:paraId="02A76159">
      <w:pPr>
        <w:keepNext w:val="0"/>
        <w:keepLines w:val="0"/>
        <w:pageBreakBefore w:val="0"/>
        <w:widowControl w:val="0"/>
        <w:kinsoku/>
        <w:wordWrap/>
        <w:overflowPunct/>
        <w:topLinePunct w:val="0"/>
        <w:bidi w:val="0"/>
        <w:adjustRightInd/>
        <w:snapToGrid/>
        <w:spacing w:line="360" w:lineRule="auto"/>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2026年7月，</w:t>
      </w:r>
      <w:r>
        <w:rPr>
          <w:rFonts w:hint="eastAsia" w:ascii="仿宋" w:hAnsi="仿宋" w:eastAsia="仿宋" w:cs="仿宋"/>
          <w:color w:val="auto"/>
          <w:sz w:val="30"/>
          <w:szCs w:val="30"/>
          <w:highlight w:val="none"/>
        </w:rPr>
        <w:t>形成正式的征求意见稿和编制说明。</w:t>
      </w:r>
    </w:p>
    <w:p w14:paraId="1A3A4AD4">
      <w:pPr>
        <w:spacing w:line="360" w:lineRule="auto"/>
        <w:ind w:firstLine="643" w:firstLineChars="200"/>
        <w:jc w:val="both"/>
        <w:outlineLvl w:val="0"/>
        <w:rPr>
          <w:rFonts w:hint="default" w:ascii="Times New Roman" w:hAnsi="Times New Roman" w:eastAsia="黑体" w:cs="Times New Roman"/>
          <w:b/>
          <w:color w:val="auto"/>
          <w:kern w:val="0"/>
          <w:sz w:val="32"/>
          <w:szCs w:val="32"/>
          <w:lang w:val="en-US" w:eastAsia="zh-CN" w:bidi="ar-SA"/>
        </w:rPr>
      </w:pPr>
      <w:r>
        <w:rPr>
          <w:rFonts w:hint="eastAsia" w:ascii="Times New Roman" w:hAnsi="Times New Roman" w:eastAsia="黑体" w:cs="Times New Roman"/>
          <w:b/>
          <w:color w:val="auto"/>
          <w:kern w:val="0"/>
          <w:sz w:val="32"/>
          <w:szCs w:val="32"/>
          <w:lang w:val="en-US" w:eastAsia="zh-CN" w:bidi="ar-SA"/>
        </w:rPr>
        <w:t>五</w:t>
      </w:r>
      <w:r>
        <w:rPr>
          <w:rFonts w:hint="default" w:ascii="Times New Roman" w:hAnsi="Times New Roman" w:eastAsia="黑体" w:cs="Times New Roman"/>
          <w:b/>
          <w:color w:val="auto"/>
          <w:kern w:val="0"/>
          <w:sz w:val="32"/>
          <w:szCs w:val="32"/>
          <w:lang w:val="en-US" w:eastAsia="zh-CN" w:bidi="ar-SA"/>
        </w:rPr>
        <w:t>、标准编制原则和主要内容</w:t>
      </w:r>
    </w:p>
    <w:p w14:paraId="6E27B0ED">
      <w:pPr>
        <w:pStyle w:val="2"/>
        <w:keepNext w:val="0"/>
        <w:keepLines w:val="0"/>
        <w:pageBreakBefore w:val="0"/>
        <w:widowControl w:val="0"/>
        <w:kinsoku/>
        <w:wordWrap/>
        <w:overflowPunct/>
        <w:topLinePunct w:val="0"/>
        <w:bidi w:val="0"/>
        <w:adjustRightInd/>
        <w:snapToGrid/>
        <w:spacing w:line="560" w:lineRule="exact"/>
        <w:ind w:firstLine="560"/>
        <w:textAlignment w:val="auto"/>
        <w:outlineLvl w:val="1"/>
        <w:rPr>
          <w:rFonts w:hint="eastAsia" w:ascii="楷体" w:hAnsi="楷体" w:eastAsia="楷体" w:cs="楷体"/>
          <w:b/>
          <w:bCs w:val="0"/>
          <w:color w:val="auto"/>
          <w:kern w:val="0"/>
          <w:sz w:val="32"/>
          <w:szCs w:val="32"/>
          <w:lang w:val="en-US" w:eastAsia="zh-CN" w:bidi="ar-SA"/>
        </w:rPr>
      </w:pPr>
      <w:r>
        <w:rPr>
          <w:rFonts w:hint="eastAsia" w:ascii="楷体" w:hAnsi="楷体" w:eastAsia="楷体" w:cs="楷体"/>
          <w:b/>
          <w:bCs w:val="0"/>
          <w:color w:val="auto"/>
          <w:kern w:val="0"/>
          <w:sz w:val="32"/>
          <w:szCs w:val="32"/>
          <w:lang w:val="en-US" w:eastAsia="zh-CN" w:bidi="ar-SA"/>
        </w:rPr>
        <w:t>（一）标准编制原则</w:t>
      </w:r>
    </w:p>
    <w:p w14:paraId="2C973E42">
      <w:pPr>
        <w:ind w:firstLine="602" w:firstLineChars="200"/>
        <w:outlineLvl w:val="2"/>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1.协调性原则</w:t>
      </w:r>
    </w:p>
    <w:p w14:paraId="6CA9E13D">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本文件作为单位产品能耗及单位产品碳排放控制标准，其内容应符合国家现行的方针、政策、法律法规，另外还应与行业发展技术水平相协调，以促进技术进步和行业技术升级。</w:t>
      </w:r>
    </w:p>
    <w:p w14:paraId="5D7A558F">
      <w:pPr>
        <w:ind w:firstLine="602" w:firstLineChars="200"/>
        <w:outlineLvl w:val="2"/>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2.适用性原则</w:t>
      </w:r>
    </w:p>
    <w:p w14:paraId="5D809809">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技术要求指标的确定，不仅要考虑科学、先进，还要考虑经济、适用，即标准指标要科学先进，还要经济合理、实施便利，满足使用要求，确保可操作性。</w:t>
      </w:r>
    </w:p>
    <w:p w14:paraId="4B29293E">
      <w:pPr>
        <w:ind w:firstLine="602" w:firstLineChars="200"/>
        <w:outlineLvl w:val="2"/>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3.规范性原则</w:t>
      </w:r>
    </w:p>
    <w:p w14:paraId="647DBCBC">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本文件在编制过程中严格按照《标准化工作导则 第1部分：标准化文件的结构和起草规则》（GB/T 1.1-2020）、《单位产品能源消耗限额编制通则》（GB/T 12723-2024）以及《石化化工行业单位产品碳排放限额编制导则（征求意见稿）》、《工业企业温室气体排放核算和报告通则》（GB/T 32150-2025）、《碳排放核算与报告要求 第10部分：化工生产企业》（GB/T 32151.10-2023）、《中国化工生产企业温室气体排放核算方法与报告指南（试行）》等规定的基本原则和要求进行编写和表述。</w:t>
      </w:r>
    </w:p>
    <w:p w14:paraId="798C144E">
      <w:pPr>
        <w:pStyle w:val="2"/>
        <w:keepNext w:val="0"/>
        <w:keepLines w:val="0"/>
        <w:pageBreakBefore w:val="0"/>
        <w:widowControl w:val="0"/>
        <w:kinsoku/>
        <w:wordWrap/>
        <w:overflowPunct/>
        <w:topLinePunct w:val="0"/>
        <w:bidi w:val="0"/>
        <w:adjustRightInd/>
        <w:snapToGrid/>
        <w:spacing w:line="560" w:lineRule="exact"/>
        <w:ind w:firstLine="560"/>
        <w:textAlignment w:val="auto"/>
        <w:outlineLvl w:val="1"/>
        <w:rPr>
          <w:rFonts w:hint="default"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（二）标准主要内容</w:t>
      </w:r>
    </w:p>
    <w:p w14:paraId="0FCF4EF6">
      <w:pPr>
        <w:ind w:firstLine="602" w:firstLineChars="200"/>
        <w:outlineLvl w:val="2"/>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1.标准适用范围</w:t>
      </w:r>
    </w:p>
    <w:p w14:paraId="30ED34E3">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本文件规定了丙烯酸单位产品综合能耗和单位产品二氧化碳排放的限额等级、指标要求、统计范围、计算方法、节能降碳管理与措施。适用于现有、新建或改扩建以丙烯为原料生产丙烯酸企业丙烯酸单位产品综合能耗、单位产品二氧化碳排放的计算和评价。</w:t>
      </w:r>
    </w:p>
    <w:p w14:paraId="57385610">
      <w:pPr>
        <w:ind w:firstLine="602" w:firstLineChars="200"/>
        <w:outlineLvl w:val="2"/>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2.标准限额指标的确定</w:t>
      </w:r>
    </w:p>
    <w:p w14:paraId="093E6A30">
      <w:pPr>
        <w:ind w:firstLine="600" w:firstLineChars="200"/>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目前，国内丙烯酸生产工艺可分为主流在生产工艺、在建/中试新工艺、已淘汰/小众工艺三大类，其中丙烯两步氧化法占国内总产能95%以上。主流在生产工艺为丙烯两步氧化法，以丙烯为原料，经一次氧化反应为丙烯醛，二次氧化反应为丙烯酸产品，该工艺技术成熟，国内代表企业有卫星化学、华谊集团、扬子巴斯夫、万华化学等；在建/中试新工艺主要以低碳/短流程方向，包括丙烷一步氧化法、生物基路线，其中采用丙烷一步氧化法的为广东长鸿艾凯茵科技有限公司5万吨/年装置在建，是国内唯一在建一步法的丙烯酸生产装置，而生物基路线目前均处于小试/中试阶段；已淘汰/小众工艺主要为丙烯腈水解法、氰乙醇法/氯乙醇法、烯酮法，存在污染大、成本高等问题已成为淘汰工艺。</w:t>
      </w:r>
    </w:p>
    <w:p w14:paraId="37B7C49E">
      <w:pPr>
        <w:ind w:firstLine="600" w:firstLineChars="200"/>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因此本标准确定以丙烯为原料的两步氧化法丙烯酸装置单位产品综合能耗和单位产品二氧化碳排放为本标准推荐性能效限额指标，涉及能源品种主要为天然气/燃料气、电力、蒸汽、柴油等。主要用能系统为原料预处理与混合、两步催化氧化反应、反应气急冷与吸收、丙烯酸精制提纯、尾气处理等，以及辅助生产系统及附属生产系统。广东省广东长鸿艾凯茵科技有限公司在建5万吨/年丙烷一步氧化法生产丙烯酸装置的能效水平可参考本标准判断。</w:t>
      </w:r>
    </w:p>
    <w:p w14:paraId="05834103">
      <w:pPr>
        <w:ind w:firstLine="602" w:firstLineChars="200"/>
        <w:outlineLvl w:val="2"/>
        <w:rPr>
          <w:rFonts w:hint="default"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3.能耗限额指标值的计算方法</w:t>
      </w:r>
    </w:p>
    <w:p w14:paraId="324A444A">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本章节规定了丙烯酸装置综合能耗、二氧化碳排放总量的统计范围、统计范围的基本工艺流程、统计方法以及装置综合能耗、单位产品综合能耗、装置碳排放总量、单位产品二氧化碳排放量的计算方法。生产企业实际计算综合能耗时，应按产品的实际能耗折算成标准煤后再计算；计算碳排放量时，应按产品的实际能源消耗按对应的排放因子进行折算。</w:t>
      </w:r>
    </w:p>
    <w:p w14:paraId="6EA74F10">
      <w:pPr>
        <w:ind w:firstLine="600" w:firstLineChars="200"/>
        <w:outlineLvl w:val="3"/>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（1）统计范围</w:t>
      </w:r>
    </w:p>
    <w:p w14:paraId="014CE5B0">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丙烯酸生产系统的能耗及二氧化碳排放统计界区包括主要生产系统、辅助生产系统和附属生产系统。其中：</w:t>
      </w:r>
    </w:p>
    <w:p w14:paraId="30FA353A">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a）丙烯酸主要生产系统</w:t>
      </w:r>
    </w:p>
    <w:p w14:paraId="3B38CC7B">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包括从原料丙烯等经计量进入丙烯酸工艺装置开始，到成品进入仓库为止的整个生产过程中各种能耗及二氧化碳排放。主要工序包括原料预处理与混合、两步催化氧化反应、反应气急冷与吸收、丙烯酸精制提纯、尾气处理等。</w:t>
      </w:r>
    </w:p>
    <w:p w14:paraId="37B57D68">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b）丙烯酸辅助生产系统</w:t>
      </w:r>
    </w:p>
    <w:p w14:paraId="31781190">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为满足丙烯酸生产需要而配置的辅助性工艺过程、设备和设施，包括供电、供水、供汽、机修、电气、仪表、厂内原料场地以及安全、环保装置和各种载能工质的生产装置等。</w:t>
      </w:r>
    </w:p>
    <w:p w14:paraId="03C4CF76">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c）丙烯酸附属生产系统</w:t>
      </w:r>
    </w:p>
    <w:p w14:paraId="09BBB164">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为丙烯酸生产系统配置的生产调度系统和为生产服务的附属性部门和设施，包括办公室、操作室、休息室、更衣室、洗浴室、中控分析室、成品检验室等。丙烯酸装置能耗统计界区示意图和二氧化碳排放核算边界示意图如下：</w:t>
      </w:r>
    </w:p>
    <w:p w14:paraId="2583ECC0">
      <w:pPr>
        <w:jc w:val="center"/>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drawing>
          <wp:inline distT="0" distB="0" distL="114300" distR="114300">
            <wp:extent cx="4914265" cy="3623945"/>
            <wp:effectExtent l="0" t="0" r="635" b="8255"/>
            <wp:docPr id="15" name="图片 15" descr="2026-7-10 丙烯酸工艺流程图边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2026-7-10 丙烯酸工艺流程图边界"/>
                    <pic:cNvPicPr>
                      <a:picLocks noChangeAspect="1"/>
                    </pic:cNvPicPr>
                  </pic:nvPicPr>
                  <pic:blipFill>
                    <a:blip r:embed="rId6"/>
                    <a:stretch>
                      <a:fillRect/>
                    </a:stretch>
                  </pic:blipFill>
                  <pic:spPr>
                    <a:xfrm>
                      <a:off x="0" y="0"/>
                      <a:ext cx="4914265" cy="3623945"/>
                    </a:xfrm>
                    <a:prstGeom prst="rect">
                      <a:avLst/>
                    </a:prstGeom>
                  </pic:spPr>
                </pic:pic>
              </a:graphicData>
            </a:graphic>
          </wp:inline>
        </w:drawing>
      </w:r>
    </w:p>
    <w:p w14:paraId="3086FD28">
      <w:pPr>
        <w:jc w:val="center"/>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图1 丙烯酸装置能耗统计界区示意图</w:t>
      </w:r>
    </w:p>
    <w:p w14:paraId="06AD9EEF">
      <w:pPr>
        <w:jc w:val="center"/>
        <w:rPr>
          <w:rFonts w:hint="default" w:ascii="仿宋" w:hAnsi="仿宋" w:eastAsia="仿宋" w:cs="仿宋"/>
          <w:color w:val="auto"/>
          <w:sz w:val="30"/>
          <w:szCs w:val="30"/>
          <w:lang w:val="en-US" w:eastAsia="zh-CN"/>
        </w:rPr>
      </w:pPr>
      <w:r>
        <w:rPr>
          <w:rFonts w:hint="eastAsia" w:ascii="黑体" w:hAnsi="黑体" w:eastAsia="黑体" w:cs="黑体"/>
          <w:color w:val="auto"/>
          <w:sz w:val="21"/>
          <w:szCs w:val="21"/>
          <w:lang w:val="en-US" w:eastAsia="zh-CN" w:bidi="ar-SA"/>
        </w:rPr>
        <w:drawing>
          <wp:inline distT="0" distB="0" distL="114300" distR="114300">
            <wp:extent cx="5346065" cy="4133850"/>
            <wp:effectExtent l="0" t="0" r="635" b="6350"/>
            <wp:docPr id="14" name="图片 14" descr="2026-7-3 丙烯酸碳核算流程图边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2026-7-3 丙烯酸碳核算流程图边界"/>
                    <pic:cNvPicPr>
                      <a:picLocks noChangeAspect="1"/>
                    </pic:cNvPicPr>
                  </pic:nvPicPr>
                  <pic:blipFill>
                    <a:blip r:embed="rId7"/>
                    <a:stretch>
                      <a:fillRect/>
                    </a:stretch>
                  </pic:blipFill>
                  <pic:spPr>
                    <a:xfrm>
                      <a:off x="0" y="0"/>
                      <a:ext cx="5346065" cy="4133850"/>
                    </a:xfrm>
                    <a:prstGeom prst="rect">
                      <a:avLst/>
                    </a:prstGeom>
                  </pic:spPr>
                </pic:pic>
              </a:graphicData>
            </a:graphic>
          </wp:inline>
        </w:drawing>
      </w:r>
    </w:p>
    <w:p w14:paraId="601C337D">
      <w:pPr>
        <w:jc w:val="center"/>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图2 丙烯酸二氧化碳排放核算边界示意图</w:t>
      </w:r>
    </w:p>
    <w:p w14:paraId="16276D26">
      <w:pPr>
        <w:ind w:firstLine="600" w:firstLineChars="200"/>
        <w:outlineLvl w:val="3"/>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（2）统计方法</w:t>
      </w:r>
    </w:p>
    <w:p w14:paraId="694576C5">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a）丙烯酸生产系统输入和使用的能源包括丙烯酸主要生产系统、辅助生产系统、附属生产系统所消耗的各种一次能源量（原煤、石油、天然气等）、二次能源（电力、热力等）和生产使用的耗能工质（水、氧气、压缩空气、脱盐水等）所消耗的能源量，不包括建设和改造过程用能和生活用能（指企业系统内宿舍、学校、文化娱乐、商业服务和托儿幼教等方面用能）。上述丙烯酸生产系统输入、使用能源产生的直接及间接二氧化碳排放纳入本系统碳排放核算范围，丙烯酸装置生产环节产生的工业过程二氧化碳排放不纳入核算。</w:t>
      </w:r>
    </w:p>
    <w:p w14:paraId="437EFBE7">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b）丙烯酸生产系统输出能源是指丙烯酸生产系统向外输出的供其他产品或装置使用的电力和热力。丙烯酸生产系统界区内的废气、废液、废渣等未回收使用的、无计量的、没有实测热值以及不作为能源、再次利用的，均不得计入输出能源。上述丙烯酸生产系统输出能源而产生的直接和间接二氧化碳排放应在丙烯酸生产系统碳排放量中予以扣除。</w:t>
      </w:r>
    </w:p>
    <w:p w14:paraId="28B24190">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c）统计丙烯酸生产系统回收的能量时，回收利用的能量用于本系统时不应作为输入能源再计入；向外输出时，应计入丙烯酸生产系统向外输出的能源。</w:t>
      </w:r>
    </w:p>
    <w:p w14:paraId="1970BAD4">
      <w:p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d）丙烯酸企业涉及固碳、碳捕集与碳封存、碳汇等二氧化碳清除活动，以及使用绿色电力，不应直接扣减。</w:t>
      </w:r>
    </w:p>
    <w:p w14:paraId="0A56AC1C">
      <w:pPr>
        <w:ind w:firstLine="600" w:firstLineChars="200"/>
        <w:outlineLvl w:val="3"/>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（3）计算方法</w:t>
      </w:r>
    </w:p>
    <w:p w14:paraId="157E540C">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a）丙烯酸综合能耗按式（1）计算：</w:t>
      </w:r>
    </w:p>
    <w:p w14:paraId="210A45E8">
      <w:pPr>
        <w:keepNext w:val="0"/>
        <w:keepLines w:val="0"/>
        <w:pageBreakBefore w:val="0"/>
        <w:widowControl w:val="0"/>
        <w:tabs>
          <w:tab w:val="center" w:pos="4200"/>
          <w:tab w:val="right" w:leader="dot" w:pos="8400"/>
        </w:tabs>
        <w:kinsoku/>
        <w:wordWrap/>
        <w:overflowPunct/>
        <w:topLinePunct w:val="0"/>
        <w:autoSpaceDE/>
        <w:autoSpaceDN/>
        <w:bidi w:val="0"/>
        <w:adjustRightInd/>
        <w:snapToGrid/>
        <w:textAlignment w:val="auto"/>
        <w:rPr>
          <w:rFonts w:hint="eastAsia" w:ascii="仿宋" w:hAnsi="仿宋" w:eastAsia="仿宋" w:cs="仿宋"/>
          <w:color w:val="auto"/>
          <w:sz w:val="30"/>
          <w:szCs w:val="30"/>
          <w:lang w:val="en-US" w:eastAsia="zh-CN"/>
        </w:rPr>
      </w:pPr>
      <w:r>
        <w:rPr>
          <w:rFonts w:hint="eastAsia" w:hAnsi="Cambria Math" w:eastAsia="仿宋" w:cs="仿宋"/>
          <w:b w:val="0"/>
          <w:i w:val="0"/>
          <w:color w:val="auto"/>
          <w:sz w:val="30"/>
          <w:szCs w:val="30"/>
          <w:lang w:val="en-US" w:eastAsia="zh-CN"/>
        </w:rPr>
        <w:tab/>
      </w:r>
      <m:oMath>
        <m:r>
          <m:rPr>
            <m:sty m:val="p"/>
          </m:rPr>
          <w:rPr>
            <w:rFonts w:hint="eastAsia" w:ascii="Cambria Math" w:hAnsi="Cambria Math" w:eastAsia="仿宋" w:cs="仿宋"/>
            <w:color w:val="auto"/>
            <w:sz w:val="30"/>
            <w:szCs w:val="30"/>
            <w:lang w:val="en-US" w:eastAsia="zh-CN"/>
          </w:rPr>
          <m:t>E=</m:t>
        </m:r>
        <m:nary>
          <m:naryPr>
            <m:chr m:val="∑"/>
            <m:limLoc m:val="undOvr"/>
            <m:ctrlPr>
              <w:rPr>
                <w:rFonts w:hint="eastAsia" w:ascii="Cambria Math" w:hAnsi="Cambria Math" w:eastAsia="仿宋" w:cs="仿宋"/>
                <w:color w:val="auto"/>
                <w:sz w:val="30"/>
                <w:szCs w:val="30"/>
                <w:lang w:val="en-US" w:eastAsia="zh-CN"/>
              </w:rPr>
            </m:ctrlPr>
          </m:naryPr>
          <m:sub>
            <m:r>
              <m:rPr>
                <m:sty m:val="p"/>
              </m:rPr>
              <w:rPr>
                <w:rFonts w:hint="eastAsia" w:ascii="Cambria Math" w:hAnsi="Cambria Math" w:eastAsia="仿宋" w:cs="仿宋"/>
                <w:color w:val="auto"/>
                <w:sz w:val="30"/>
                <w:szCs w:val="30"/>
                <w:lang w:val="en-US" w:eastAsia="zh-CN"/>
              </w:rPr>
              <m:t>i=1</m:t>
            </m:r>
            <m:ctrlPr>
              <w:rPr>
                <w:rFonts w:hint="eastAsia" w:ascii="Cambria Math" w:hAnsi="Cambria Math" w:eastAsia="仿宋" w:cs="仿宋"/>
                <w:color w:val="auto"/>
                <w:sz w:val="30"/>
                <w:szCs w:val="30"/>
                <w:lang w:val="en-US" w:eastAsia="zh-CN"/>
              </w:rPr>
            </m:ctrlPr>
          </m:sub>
          <m:sup>
            <m:r>
              <m:rPr>
                <m:sty m:val="p"/>
              </m:rPr>
              <w:rPr>
                <w:rFonts w:hint="eastAsia" w:ascii="Cambria Math" w:hAnsi="Cambria Math" w:eastAsia="仿宋" w:cs="仿宋"/>
                <w:color w:val="auto"/>
                <w:sz w:val="30"/>
                <w:szCs w:val="30"/>
                <w:lang w:val="en-US" w:eastAsia="zh-CN"/>
              </w:rPr>
              <m:t>n</m:t>
            </m:r>
            <m:ctrlPr>
              <w:rPr>
                <w:rFonts w:hint="eastAsia" w:ascii="Cambria Math" w:hAnsi="Cambria Math" w:eastAsia="仿宋" w:cs="仿宋"/>
                <w:color w:val="auto"/>
                <w:sz w:val="30"/>
                <w:szCs w:val="30"/>
                <w:lang w:val="en-US" w:eastAsia="zh-CN"/>
              </w:rPr>
            </m:ctrlPr>
          </m:sup>
          <m:e>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M</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R</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nary>
              <m:naryPr>
                <m:chr m:val="∑"/>
                <m:limLoc m:val="undOvr"/>
                <m:ctrlPr>
                  <w:rPr>
                    <w:rFonts w:hint="eastAsia" w:ascii="Cambria Math" w:hAnsi="Cambria Math" w:eastAsia="仿宋" w:cs="仿宋"/>
                    <w:color w:val="auto"/>
                    <w:sz w:val="30"/>
                    <w:szCs w:val="30"/>
                    <w:lang w:val="en-US" w:eastAsia="zh-CN"/>
                  </w:rPr>
                </m:ctrlPr>
              </m:naryPr>
              <m:sub>
                <m:r>
                  <m:rPr>
                    <m:sty m:val="p"/>
                  </m:rPr>
                  <w:rPr>
                    <w:rFonts w:hint="eastAsia" w:ascii="Cambria Math" w:hAnsi="Cambria Math" w:eastAsia="仿宋" w:cs="仿宋"/>
                    <w:color w:val="auto"/>
                    <w:sz w:val="30"/>
                    <w:szCs w:val="30"/>
                    <w:lang w:val="en-US" w:eastAsia="zh-CN"/>
                  </w:rPr>
                  <m:t>j=1</m:t>
                </m:r>
                <m:ctrlPr>
                  <w:rPr>
                    <w:rFonts w:hint="eastAsia" w:ascii="Cambria Math" w:hAnsi="Cambria Math" w:eastAsia="仿宋" w:cs="仿宋"/>
                    <w:color w:val="auto"/>
                    <w:sz w:val="30"/>
                    <w:szCs w:val="30"/>
                    <w:lang w:val="en-US" w:eastAsia="zh-CN"/>
                  </w:rPr>
                </m:ctrlPr>
              </m:sub>
              <m:sup>
                <m:r>
                  <m:rPr>
                    <m:sty m:val="p"/>
                  </m:rPr>
                  <w:rPr>
                    <w:rFonts w:hint="eastAsia" w:ascii="Cambria Math" w:hAnsi="Cambria Math" w:eastAsia="仿宋" w:cs="仿宋"/>
                    <w:color w:val="auto"/>
                    <w:sz w:val="30"/>
                    <w:szCs w:val="30"/>
                    <w:lang w:val="en-US" w:eastAsia="zh-CN"/>
                  </w:rPr>
                  <m:t>m</m:t>
                </m:r>
                <m:ctrlPr>
                  <w:rPr>
                    <w:rFonts w:hint="eastAsia" w:ascii="Cambria Math" w:hAnsi="Cambria Math" w:eastAsia="仿宋" w:cs="仿宋"/>
                    <w:color w:val="auto"/>
                    <w:sz w:val="30"/>
                    <w:szCs w:val="30"/>
                    <w:lang w:val="en-US" w:eastAsia="zh-CN"/>
                  </w:rPr>
                </m:ctrlPr>
              </m:sup>
              <m:e>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Q</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j</m:t>
                    </m:r>
                    <m:ctrlPr>
                      <w:rPr>
                        <w:rFonts w:hint="eastAsia" w:ascii="Cambria Math" w:hAnsi="Cambria Math" w:eastAsia="仿宋" w:cs="仿宋"/>
                        <w:color w:val="auto"/>
                        <w:sz w:val="30"/>
                        <w:szCs w:val="30"/>
                        <w:lang w:val="en-US" w:eastAsia="zh-CN"/>
                      </w:rPr>
                    </m:ctrlPr>
                  </m:sub>
                </m:sSub>
                <m:ctrlPr>
                  <w:rPr>
                    <w:rFonts w:hint="eastAsia" w:ascii="Cambria Math" w:hAnsi="Cambria Math" w:eastAsia="仿宋" w:cs="仿宋"/>
                    <w:color w:val="auto"/>
                    <w:sz w:val="30"/>
                    <w:szCs w:val="30"/>
                    <w:lang w:val="en-US" w:eastAsia="zh-CN"/>
                  </w:rPr>
                </m:ctrlPr>
              </m:e>
            </m:nary>
            <m:ctrlPr>
              <w:rPr>
                <w:rFonts w:hint="eastAsia" w:ascii="Cambria Math" w:hAnsi="Cambria Math" w:eastAsia="仿宋" w:cs="仿宋"/>
                <w:color w:val="auto"/>
                <w:sz w:val="30"/>
                <w:szCs w:val="30"/>
                <w:lang w:val="en-US" w:eastAsia="zh-CN"/>
              </w:rPr>
            </m:ctrlPr>
          </m:e>
        </m:nary>
      </m:oMath>
      <w:r>
        <w:rPr>
          <w:rFonts w:hint="eastAsia" w:hAnsi="Cambria Math" w:eastAsia="仿宋" w:cs="仿宋"/>
          <w:i w:val="0"/>
          <w:color w:val="auto"/>
          <w:sz w:val="30"/>
          <w:szCs w:val="30"/>
          <w:lang w:val="en-US" w:eastAsia="zh-CN"/>
        </w:rPr>
        <w:tab/>
      </w:r>
      <w:r>
        <w:rPr>
          <w:rFonts w:hint="eastAsia" w:ascii="仿宋" w:hAnsi="仿宋" w:eastAsia="仿宋" w:cs="仿宋"/>
          <w:color w:val="auto"/>
          <w:sz w:val="30"/>
          <w:szCs w:val="30"/>
          <w:lang w:val="en-US" w:eastAsia="zh-CN"/>
        </w:rPr>
        <w:t>（1）</w:t>
      </w:r>
    </w:p>
    <w:p w14:paraId="4833C276">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式中：</w:t>
      </w:r>
    </w:p>
    <w:p w14:paraId="0A9ADA82">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E — 丙烯酸综合能耗，单位为千克标准煤（kgce）；</w:t>
      </w:r>
    </w:p>
    <w:p w14:paraId="60BC7957">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M</w:t>
      </w:r>
      <w:r>
        <w:rPr>
          <w:rFonts w:hint="eastAsia" w:ascii="仿宋" w:hAnsi="仿宋" w:eastAsia="仿宋" w:cs="仿宋"/>
          <w:color w:val="auto"/>
          <w:sz w:val="30"/>
          <w:szCs w:val="30"/>
          <w:vertAlign w:val="subscript"/>
          <w:lang w:val="en-US" w:eastAsia="zh-CN"/>
        </w:rPr>
        <w:t>i</w:t>
      </w:r>
      <w:r>
        <w:rPr>
          <w:rFonts w:hint="eastAsia" w:ascii="仿宋" w:hAnsi="仿宋" w:eastAsia="仿宋" w:cs="仿宋"/>
          <w:color w:val="auto"/>
          <w:sz w:val="30"/>
          <w:szCs w:val="30"/>
          <w:lang w:val="en-US" w:eastAsia="zh-CN"/>
        </w:rPr>
        <w:t xml:space="preserve"> — 统计报告期内输入的第i种能源的实物量（电、蒸汽、燃料），向统计界区内输入实物量计为正值，输出计为负值；</w:t>
      </w:r>
    </w:p>
    <w:p w14:paraId="66444EA1">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R</w:t>
      </w:r>
      <w:r>
        <w:rPr>
          <w:rFonts w:hint="eastAsia" w:ascii="仿宋" w:hAnsi="仿宋" w:eastAsia="仿宋" w:cs="仿宋"/>
          <w:color w:val="auto"/>
          <w:sz w:val="30"/>
          <w:szCs w:val="30"/>
          <w:vertAlign w:val="subscript"/>
          <w:lang w:val="en-US" w:eastAsia="zh-CN"/>
        </w:rPr>
        <w:t>i</w:t>
      </w:r>
      <w:r>
        <w:rPr>
          <w:rFonts w:hint="eastAsia" w:ascii="仿宋" w:hAnsi="仿宋" w:eastAsia="仿宋" w:cs="仿宋"/>
          <w:color w:val="auto"/>
          <w:sz w:val="30"/>
          <w:szCs w:val="30"/>
          <w:lang w:val="en-US" w:eastAsia="zh-CN"/>
        </w:rPr>
        <w:t xml:space="preserve"> — 统计报告期内输入的第i种能源的折标准煤系数；</w:t>
      </w:r>
    </w:p>
    <w:p w14:paraId="0CA368D0">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Q</w:t>
      </w:r>
      <w:r>
        <w:rPr>
          <w:rFonts w:hint="eastAsia" w:ascii="仿宋" w:hAnsi="仿宋" w:eastAsia="仿宋" w:cs="仿宋"/>
          <w:color w:val="auto"/>
          <w:sz w:val="30"/>
          <w:szCs w:val="30"/>
          <w:vertAlign w:val="subscript"/>
          <w:lang w:val="en-US" w:eastAsia="zh-CN"/>
        </w:rPr>
        <w:t>j</w:t>
      </w:r>
      <w:r>
        <w:rPr>
          <w:rFonts w:hint="eastAsia" w:ascii="仿宋" w:hAnsi="仿宋" w:eastAsia="仿宋" w:cs="仿宋"/>
          <w:color w:val="auto"/>
          <w:sz w:val="30"/>
          <w:szCs w:val="30"/>
          <w:lang w:val="en-US" w:eastAsia="zh-CN"/>
        </w:rPr>
        <w:t xml:space="preserve"> — 统计报告期内丙烯酸与外界交换的第j种能源量，单位为千克标准煤（kgce），向丙烯酸输入的能源计为正值，从丙烯酸输出的能源计为负值。</w:t>
      </w:r>
    </w:p>
    <w:p w14:paraId="1C92B7D9">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b）丙烯酸单位产品综合能耗按式（2）计算：</w:t>
      </w:r>
    </w:p>
    <w:p w14:paraId="39917240">
      <w:pPr>
        <w:keepNext w:val="0"/>
        <w:keepLines w:val="0"/>
        <w:pageBreakBefore w:val="0"/>
        <w:widowControl w:val="0"/>
        <w:tabs>
          <w:tab w:val="center" w:pos="4200"/>
          <w:tab w:val="right" w:leader="dot" w:pos="8400"/>
        </w:tabs>
        <w:kinsoku/>
        <w:wordWrap/>
        <w:overflowPunct/>
        <w:topLinePunct w:val="0"/>
        <w:autoSpaceDE/>
        <w:autoSpaceDN/>
        <w:bidi w:val="0"/>
        <w:adjustRightInd/>
        <w:snapToGrid/>
        <w:textAlignment w:val="auto"/>
        <w:rPr>
          <w:rFonts w:hint="eastAsia" w:ascii="仿宋" w:hAnsi="仿宋" w:eastAsia="仿宋" w:cs="仿宋"/>
          <w:color w:val="auto"/>
          <w:sz w:val="30"/>
          <w:szCs w:val="30"/>
          <w:lang w:val="en-US" w:eastAsia="zh-CN"/>
        </w:rPr>
      </w:pPr>
      <w:r>
        <w:rPr>
          <w:rFonts w:hint="eastAsia" w:hAnsi="Cambria Math" w:eastAsia="仿宋" w:cs="仿宋"/>
          <w:b w:val="0"/>
          <w:i w:val="0"/>
          <w:color w:val="auto"/>
          <w:sz w:val="30"/>
          <w:szCs w:val="30"/>
          <w:lang w:val="en-US" w:eastAsia="zh-CN"/>
        </w:rPr>
        <w:tab/>
      </w:r>
      <m:oMath>
        <m:r>
          <m:rPr>
            <m:sty m:val="p"/>
          </m:rPr>
          <w:rPr>
            <w:rFonts w:hint="eastAsia" w:ascii="Cambria Math" w:hAnsi="Cambria Math" w:eastAsia="仿宋" w:cs="仿宋"/>
            <w:color w:val="auto"/>
            <w:sz w:val="30"/>
            <w:szCs w:val="30"/>
            <w:lang w:val="en-US" w:eastAsia="zh-CN"/>
          </w:rPr>
          <m:t>e=</m:t>
        </m:r>
        <m:f>
          <m:fPr>
            <m:ctrlPr>
              <w:rPr>
                <w:rFonts w:hint="eastAsia" w:ascii="Cambria Math" w:hAnsi="Cambria Math" w:eastAsia="仿宋" w:cs="仿宋"/>
                <w:color w:val="auto"/>
                <w:sz w:val="30"/>
                <w:szCs w:val="30"/>
                <w:lang w:val="en-US" w:eastAsia="zh-CN"/>
              </w:rPr>
            </m:ctrlPr>
          </m:fPr>
          <m:num>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num>
          <m:den>
            <m:r>
              <m:rPr>
                <m:sty m:val="p"/>
              </m:rPr>
              <w:rPr>
                <w:rFonts w:hint="eastAsia" w:ascii="Cambria Math" w:hAnsi="Cambria Math" w:eastAsia="仿宋" w:cs="仿宋"/>
                <w:color w:val="auto"/>
                <w:sz w:val="30"/>
                <w:szCs w:val="30"/>
                <w:lang w:val="en-US" w:eastAsia="zh-CN"/>
              </w:rPr>
              <m:t>P</m:t>
            </m:r>
            <m:ctrlPr>
              <w:rPr>
                <w:rFonts w:hint="eastAsia" w:ascii="Cambria Math" w:hAnsi="Cambria Math" w:eastAsia="仿宋" w:cs="仿宋"/>
                <w:color w:val="auto"/>
                <w:sz w:val="30"/>
                <w:szCs w:val="30"/>
                <w:lang w:val="en-US" w:eastAsia="zh-CN"/>
              </w:rPr>
            </m:ctrlPr>
          </m:den>
        </m:f>
      </m:oMath>
      <w:r>
        <w:rPr>
          <w:rFonts w:hint="eastAsia" w:hAnsi="Cambria Math" w:eastAsia="仿宋" w:cs="仿宋"/>
          <w:i w:val="0"/>
          <w:color w:val="auto"/>
          <w:sz w:val="30"/>
          <w:szCs w:val="30"/>
          <w:lang w:val="en-US" w:eastAsia="zh-CN"/>
        </w:rPr>
        <w:tab/>
      </w:r>
      <w:r>
        <w:rPr>
          <w:rFonts w:hint="eastAsia" w:ascii="仿宋" w:hAnsi="仿宋" w:eastAsia="仿宋" w:cs="仿宋"/>
          <w:color w:val="auto"/>
          <w:sz w:val="30"/>
          <w:szCs w:val="30"/>
          <w:lang w:val="en-US" w:eastAsia="zh-CN"/>
        </w:rPr>
        <w:t>（2）</w:t>
      </w:r>
    </w:p>
    <w:p w14:paraId="702D13F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式中：</w:t>
      </w:r>
    </w:p>
    <w:p w14:paraId="5C4BE4F0">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e — 丙烯酸单位产品综合能耗，单位为千克标准煤/吨（kgce/t）；</w:t>
      </w:r>
    </w:p>
    <w:p w14:paraId="019F9365">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E — 统计报告期内丙烯酸综合能耗，单位为千克标准煤（kgce）；</w:t>
      </w:r>
    </w:p>
    <w:p w14:paraId="70A07585">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P — 统计报告期内丙烯酸合格产品（应符合GB/T 17529.1 标准要求）的实物产量，单位为吨（t）。</w:t>
      </w:r>
    </w:p>
    <w:p w14:paraId="6761565B">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c）丙烯酸产品二氧化碳排放总量按式（3）计算：</w:t>
      </w:r>
    </w:p>
    <w:p w14:paraId="28441222">
      <w:pPr>
        <w:keepNext w:val="0"/>
        <w:keepLines w:val="0"/>
        <w:pageBreakBefore w:val="0"/>
        <w:widowControl w:val="0"/>
        <w:tabs>
          <w:tab w:val="center" w:pos="4200"/>
          <w:tab w:val="right" w:leader="dot" w:pos="8400"/>
        </w:tabs>
        <w:kinsoku/>
        <w:wordWrap/>
        <w:overflowPunct/>
        <w:topLinePunct w:val="0"/>
        <w:autoSpaceDE/>
        <w:autoSpaceDN/>
        <w:bidi w:val="0"/>
        <w:adjustRightInd/>
        <w:snapToGrid/>
        <w:textAlignment w:val="auto"/>
        <w:rPr>
          <w:rFonts w:hint="eastAsia" w:ascii="仿宋" w:hAnsi="仿宋" w:eastAsia="仿宋" w:cs="仿宋"/>
          <w:color w:val="auto"/>
          <w:sz w:val="28"/>
          <w:szCs w:val="28"/>
          <w:lang w:val="en-US" w:eastAsia="zh-CN"/>
        </w:rPr>
      </w:pPr>
      <w:r>
        <w:rPr>
          <w:rFonts w:hint="eastAsia" w:hAnsi="Cambria Math" w:eastAsia="仿宋" w:cs="仿宋"/>
          <w:i w:val="0"/>
          <w:color w:val="auto"/>
          <w:sz w:val="28"/>
          <w:szCs w:val="28"/>
          <w:lang w:val="en-US" w:eastAsia="zh-CN"/>
        </w:rPr>
        <w:tab/>
      </w:r>
      <m:oMath>
        <m:sSub>
          <m:sSubPr>
            <m:ctrlPr>
              <w:rPr>
                <w:rFonts w:hint="eastAsia" w:ascii="Cambria Math" w:hAnsi="Cambria Math" w:eastAsia="仿宋" w:cs="仿宋"/>
                <w:color w:val="auto"/>
                <w:sz w:val="28"/>
                <w:szCs w:val="28"/>
                <w:lang w:val="en-US" w:eastAsia="zh-CN"/>
              </w:rPr>
            </m:ctrlPr>
          </m:sSubPr>
          <m:e>
            <m:r>
              <m:rPr>
                <m:sty m:val="p"/>
              </m:rPr>
              <w:rPr>
                <w:rFonts w:hint="eastAsia" w:ascii="Cambria Math" w:hAnsi="Cambria Math" w:eastAsia="仿宋" w:cs="仿宋"/>
                <w:color w:val="auto"/>
                <w:sz w:val="28"/>
                <w:szCs w:val="28"/>
                <w:lang w:val="en-US" w:eastAsia="zh-CN"/>
              </w:rPr>
              <m:t>E</m:t>
            </m:r>
            <m:ctrlPr>
              <w:rPr>
                <w:rFonts w:hint="eastAsia" w:ascii="Cambria Math" w:hAnsi="Cambria Math" w:eastAsia="仿宋" w:cs="仿宋"/>
                <w:color w:val="auto"/>
                <w:sz w:val="28"/>
                <w:szCs w:val="28"/>
                <w:lang w:val="en-US" w:eastAsia="zh-CN"/>
              </w:rPr>
            </m:ctrlPr>
          </m:e>
          <m:sub>
            <m:sSub>
              <m:sSubPr>
                <m:ctrlPr>
                  <w:rPr>
                    <w:rFonts w:hint="eastAsia" w:ascii="Cambria Math" w:hAnsi="Cambria Math" w:eastAsia="仿宋" w:cs="仿宋"/>
                    <w:color w:val="auto"/>
                    <w:sz w:val="28"/>
                    <w:szCs w:val="28"/>
                    <w:lang w:val="en-US" w:eastAsia="zh-CN"/>
                  </w:rPr>
                </m:ctrlPr>
              </m:sSubPr>
              <m:e>
                <m:r>
                  <m:rPr>
                    <m:sty m:val="p"/>
                  </m:rPr>
                  <w:rPr>
                    <w:rFonts w:hint="eastAsia" w:ascii="Cambria Math" w:hAnsi="Cambria Math" w:eastAsia="仿宋" w:cs="仿宋"/>
                    <w:color w:val="auto"/>
                    <w:sz w:val="28"/>
                    <w:szCs w:val="28"/>
                    <w:lang w:val="en-US" w:eastAsia="zh-CN"/>
                  </w:rPr>
                  <m:t>CO</m:t>
                </m:r>
                <m:ctrlPr>
                  <w:rPr>
                    <w:rFonts w:hint="eastAsia" w:ascii="Cambria Math" w:hAnsi="Cambria Math" w:eastAsia="仿宋" w:cs="仿宋"/>
                    <w:color w:val="auto"/>
                    <w:sz w:val="28"/>
                    <w:szCs w:val="28"/>
                    <w:lang w:val="en-US" w:eastAsia="zh-CN"/>
                  </w:rPr>
                </m:ctrlPr>
              </m:e>
              <m:sub>
                <m:r>
                  <m:rPr>
                    <m:sty m:val="p"/>
                  </m:rPr>
                  <w:rPr>
                    <w:rFonts w:hint="eastAsia" w:ascii="Cambria Math" w:hAnsi="Cambria Math" w:eastAsia="仿宋" w:cs="仿宋"/>
                    <w:color w:val="auto"/>
                    <w:sz w:val="28"/>
                    <w:szCs w:val="28"/>
                    <w:lang w:val="en-US" w:eastAsia="zh-CN"/>
                  </w:rPr>
                  <m:t>2</m:t>
                </m:r>
                <m:ctrlPr>
                  <w:rPr>
                    <w:rFonts w:hint="eastAsia" w:ascii="Cambria Math" w:hAnsi="Cambria Math" w:eastAsia="仿宋" w:cs="仿宋"/>
                    <w:color w:val="auto"/>
                    <w:sz w:val="28"/>
                    <w:szCs w:val="28"/>
                    <w:lang w:val="en-US" w:eastAsia="zh-CN"/>
                  </w:rPr>
                </m:ctrlPr>
              </m:sub>
            </m:sSub>
            <m:ctrlPr>
              <w:rPr>
                <w:rFonts w:hint="eastAsia" w:ascii="Cambria Math" w:hAnsi="Cambria Math" w:eastAsia="仿宋" w:cs="仿宋"/>
                <w:color w:val="auto"/>
                <w:sz w:val="28"/>
                <w:szCs w:val="28"/>
                <w:lang w:val="en-US" w:eastAsia="zh-CN"/>
              </w:rPr>
            </m:ctrlPr>
          </m:sub>
        </m:sSub>
        <m:r>
          <m:rPr>
            <m:sty m:val="p"/>
          </m:rPr>
          <w:rPr>
            <w:rFonts w:hint="eastAsia" w:ascii="Cambria Math" w:hAnsi="Cambria Math" w:eastAsia="仿宋" w:cs="仿宋"/>
            <w:color w:val="auto"/>
            <w:sz w:val="28"/>
            <w:szCs w:val="28"/>
            <w:lang w:val="en-US" w:eastAsia="zh-CN"/>
          </w:rPr>
          <m:t>=</m:t>
        </m:r>
        <m:sSub>
          <m:sSubPr>
            <m:ctrlPr>
              <w:rPr>
                <w:rFonts w:hint="eastAsia" w:ascii="Cambria Math" w:hAnsi="Cambria Math" w:eastAsia="仿宋" w:cs="仿宋"/>
                <w:color w:val="auto"/>
                <w:sz w:val="28"/>
                <w:szCs w:val="28"/>
                <w:lang w:val="en-US" w:eastAsia="zh-CN"/>
              </w:rPr>
            </m:ctrlPr>
          </m:sSubPr>
          <m:e>
            <m:r>
              <m:rPr>
                <m:sty m:val="p"/>
              </m:rPr>
              <w:rPr>
                <w:rFonts w:hint="eastAsia" w:ascii="Cambria Math" w:hAnsi="Cambria Math" w:eastAsia="仿宋" w:cs="仿宋"/>
                <w:color w:val="auto"/>
                <w:sz w:val="28"/>
                <w:szCs w:val="28"/>
                <w:lang w:val="en-US" w:eastAsia="zh-CN"/>
              </w:rPr>
              <m:t>E</m:t>
            </m:r>
            <m:ctrlPr>
              <w:rPr>
                <w:rFonts w:hint="eastAsia" w:ascii="Cambria Math" w:hAnsi="Cambria Math" w:eastAsia="仿宋" w:cs="仿宋"/>
                <w:color w:val="auto"/>
                <w:sz w:val="28"/>
                <w:szCs w:val="28"/>
                <w:lang w:val="en-US" w:eastAsia="zh-CN"/>
              </w:rPr>
            </m:ctrlPr>
          </m:e>
          <m:sub>
            <m:r>
              <m:rPr>
                <m:sty m:val="p"/>
              </m:rPr>
              <w:rPr>
                <w:rFonts w:hint="eastAsia" w:ascii="Cambria Math" w:hAnsi="Cambria Math" w:eastAsia="仿宋" w:cs="仿宋"/>
                <w:color w:val="auto"/>
                <w:sz w:val="28"/>
                <w:szCs w:val="28"/>
                <w:lang w:val="en-US" w:eastAsia="zh-CN"/>
              </w:rPr>
              <m:t>燃烧</m:t>
            </m:r>
            <m:ctrlPr>
              <w:rPr>
                <w:rFonts w:hint="eastAsia" w:ascii="Cambria Math" w:hAnsi="Cambria Math" w:eastAsia="仿宋" w:cs="仿宋"/>
                <w:color w:val="auto"/>
                <w:sz w:val="28"/>
                <w:szCs w:val="28"/>
                <w:lang w:val="en-US" w:eastAsia="zh-CN"/>
              </w:rPr>
            </m:ctrlPr>
          </m:sub>
        </m:sSub>
        <m:r>
          <m:rPr>
            <m:sty m:val="p"/>
          </m:rPr>
          <w:rPr>
            <w:rFonts w:hint="eastAsia" w:ascii="Cambria Math" w:hAnsi="Cambria Math" w:eastAsia="仿宋" w:cs="仿宋"/>
            <w:color w:val="auto"/>
            <w:sz w:val="28"/>
            <w:szCs w:val="28"/>
            <w:lang w:val="en-US" w:eastAsia="zh-CN"/>
          </w:rPr>
          <m:t>+</m:t>
        </m:r>
        <m:sSub>
          <m:sSubPr>
            <m:ctrlPr>
              <w:rPr>
                <w:rFonts w:hint="eastAsia" w:ascii="Cambria Math" w:hAnsi="Cambria Math" w:eastAsia="仿宋" w:cs="仿宋"/>
                <w:color w:val="auto"/>
                <w:sz w:val="28"/>
                <w:szCs w:val="28"/>
                <w:lang w:val="en-US" w:eastAsia="zh-CN"/>
              </w:rPr>
            </m:ctrlPr>
          </m:sSubPr>
          <m:e>
            <m:r>
              <m:rPr>
                <m:sty m:val="p"/>
              </m:rPr>
              <w:rPr>
                <w:rFonts w:hint="eastAsia" w:ascii="Cambria Math" w:hAnsi="Cambria Math" w:eastAsia="仿宋" w:cs="仿宋"/>
                <w:color w:val="auto"/>
                <w:sz w:val="28"/>
                <w:szCs w:val="28"/>
                <w:lang w:val="en-US" w:eastAsia="zh-CN"/>
              </w:rPr>
              <m:t>E</m:t>
            </m:r>
            <m:ctrlPr>
              <w:rPr>
                <w:rFonts w:hint="eastAsia" w:ascii="Cambria Math" w:hAnsi="Cambria Math" w:eastAsia="仿宋" w:cs="仿宋"/>
                <w:color w:val="auto"/>
                <w:sz w:val="28"/>
                <w:szCs w:val="28"/>
                <w:lang w:val="en-US" w:eastAsia="zh-CN"/>
              </w:rPr>
            </m:ctrlPr>
          </m:e>
          <m:sub>
            <m:r>
              <m:rPr>
                <m:sty m:val="p"/>
              </m:rPr>
              <w:rPr>
                <w:rFonts w:hint="eastAsia" w:ascii="Cambria Math" w:hAnsi="Cambria Math" w:eastAsia="仿宋" w:cs="仿宋"/>
                <w:color w:val="auto"/>
                <w:sz w:val="28"/>
                <w:szCs w:val="28"/>
                <w:lang w:val="en-US" w:eastAsia="zh-CN"/>
              </w:rPr>
              <m:t>购入电</m:t>
            </m:r>
            <m:ctrlPr>
              <w:rPr>
                <w:rFonts w:hint="eastAsia" w:ascii="Cambria Math" w:hAnsi="Cambria Math" w:eastAsia="仿宋" w:cs="仿宋"/>
                <w:color w:val="auto"/>
                <w:sz w:val="28"/>
                <w:szCs w:val="28"/>
                <w:lang w:val="en-US" w:eastAsia="zh-CN"/>
              </w:rPr>
            </m:ctrlPr>
          </m:sub>
        </m:sSub>
        <m:r>
          <m:rPr>
            <m:sty m:val="p"/>
          </m:rPr>
          <w:rPr>
            <w:rFonts w:hint="eastAsia" w:ascii="Cambria Math" w:hAnsi="Cambria Math" w:eastAsia="仿宋" w:cs="仿宋"/>
            <w:color w:val="auto"/>
            <w:sz w:val="28"/>
            <w:szCs w:val="28"/>
            <w:lang w:val="en-US" w:eastAsia="zh-CN"/>
          </w:rPr>
          <m:t>+</m:t>
        </m:r>
        <m:sSub>
          <m:sSubPr>
            <m:ctrlPr>
              <w:rPr>
                <w:rFonts w:hint="eastAsia" w:ascii="Cambria Math" w:hAnsi="Cambria Math" w:eastAsia="仿宋" w:cs="仿宋"/>
                <w:color w:val="auto"/>
                <w:sz w:val="28"/>
                <w:szCs w:val="28"/>
                <w:lang w:val="en-US" w:eastAsia="zh-CN"/>
              </w:rPr>
            </m:ctrlPr>
          </m:sSubPr>
          <m:e>
            <m:r>
              <m:rPr>
                <m:sty m:val="p"/>
              </m:rPr>
              <w:rPr>
                <w:rFonts w:hint="eastAsia" w:ascii="Cambria Math" w:hAnsi="Cambria Math" w:eastAsia="仿宋" w:cs="仿宋"/>
                <w:color w:val="auto"/>
                <w:sz w:val="28"/>
                <w:szCs w:val="28"/>
                <w:lang w:val="en-US" w:eastAsia="zh-CN"/>
              </w:rPr>
              <m:t>E</m:t>
            </m:r>
            <m:ctrlPr>
              <w:rPr>
                <w:rFonts w:hint="eastAsia" w:ascii="Cambria Math" w:hAnsi="Cambria Math" w:eastAsia="仿宋" w:cs="仿宋"/>
                <w:color w:val="auto"/>
                <w:sz w:val="28"/>
                <w:szCs w:val="28"/>
                <w:lang w:val="en-US" w:eastAsia="zh-CN"/>
              </w:rPr>
            </m:ctrlPr>
          </m:e>
          <m:sub>
            <m:r>
              <m:rPr>
                <m:sty m:val="p"/>
              </m:rPr>
              <w:rPr>
                <w:rFonts w:hint="eastAsia" w:ascii="Cambria Math" w:hAnsi="Cambria Math" w:eastAsia="仿宋" w:cs="仿宋"/>
                <w:color w:val="auto"/>
                <w:sz w:val="28"/>
                <w:szCs w:val="28"/>
                <w:lang w:val="en-US" w:eastAsia="zh-CN"/>
              </w:rPr>
              <m:t>购入热</m:t>
            </m:r>
            <m:ctrlPr>
              <w:rPr>
                <w:rFonts w:hint="eastAsia" w:ascii="Cambria Math" w:hAnsi="Cambria Math" w:eastAsia="仿宋" w:cs="仿宋"/>
                <w:color w:val="auto"/>
                <w:sz w:val="28"/>
                <w:szCs w:val="28"/>
                <w:lang w:val="en-US" w:eastAsia="zh-CN"/>
              </w:rPr>
            </m:ctrlPr>
          </m:sub>
        </m:sSub>
        <m:r>
          <m:rPr>
            <m:sty m:val="p"/>
          </m:rPr>
          <w:rPr>
            <w:rFonts w:hint="eastAsia" w:ascii="Cambria Math" w:hAnsi="Cambria Math" w:eastAsia="仿宋" w:cs="仿宋"/>
            <w:color w:val="auto"/>
            <w:sz w:val="28"/>
            <w:szCs w:val="28"/>
            <w:lang w:val="en-US" w:eastAsia="zh-CN"/>
          </w:rPr>
          <m:t>−</m:t>
        </m:r>
        <m:sSub>
          <m:sSubPr>
            <m:ctrlPr>
              <w:rPr>
                <w:rFonts w:hint="eastAsia" w:ascii="Cambria Math" w:hAnsi="Cambria Math" w:eastAsia="仿宋" w:cs="仿宋"/>
                <w:color w:val="auto"/>
                <w:sz w:val="28"/>
                <w:szCs w:val="28"/>
                <w:lang w:val="en-US" w:eastAsia="zh-CN"/>
              </w:rPr>
            </m:ctrlPr>
          </m:sSubPr>
          <m:e>
            <m:r>
              <m:rPr>
                <m:sty m:val="p"/>
              </m:rPr>
              <w:rPr>
                <w:rFonts w:hint="eastAsia" w:ascii="Cambria Math" w:hAnsi="Cambria Math" w:eastAsia="仿宋" w:cs="仿宋"/>
                <w:color w:val="auto"/>
                <w:sz w:val="28"/>
                <w:szCs w:val="28"/>
                <w:lang w:val="en-US" w:eastAsia="zh-CN"/>
              </w:rPr>
              <m:t>E</m:t>
            </m:r>
            <m:ctrlPr>
              <w:rPr>
                <w:rFonts w:hint="eastAsia" w:ascii="Cambria Math" w:hAnsi="Cambria Math" w:eastAsia="仿宋" w:cs="仿宋"/>
                <w:color w:val="auto"/>
                <w:sz w:val="28"/>
                <w:szCs w:val="28"/>
                <w:lang w:val="en-US" w:eastAsia="zh-CN"/>
              </w:rPr>
            </m:ctrlPr>
          </m:e>
          <m:sub>
            <m:r>
              <m:rPr>
                <m:sty m:val="p"/>
              </m:rPr>
              <w:rPr>
                <w:rFonts w:hint="eastAsia" w:ascii="Cambria Math" w:hAnsi="Cambria Math" w:eastAsia="仿宋" w:cs="仿宋"/>
                <w:color w:val="auto"/>
                <w:sz w:val="28"/>
                <w:szCs w:val="28"/>
                <w:lang w:val="en-US" w:eastAsia="zh-CN"/>
              </w:rPr>
              <m:t>输出电</m:t>
            </m:r>
            <m:ctrlPr>
              <w:rPr>
                <w:rFonts w:hint="eastAsia" w:ascii="Cambria Math" w:hAnsi="Cambria Math" w:eastAsia="仿宋" w:cs="仿宋"/>
                <w:color w:val="auto"/>
                <w:sz w:val="28"/>
                <w:szCs w:val="28"/>
                <w:lang w:val="en-US" w:eastAsia="zh-CN"/>
              </w:rPr>
            </m:ctrlPr>
          </m:sub>
        </m:sSub>
        <m:r>
          <m:rPr>
            <m:sty m:val="p"/>
          </m:rPr>
          <w:rPr>
            <w:rFonts w:hint="eastAsia" w:ascii="Cambria Math" w:hAnsi="Cambria Math" w:eastAsia="仿宋" w:cs="仿宋"/>
            <w:color w:val="auto"/>
            <w:sz w:val="28"/>
            <w:szCs w:val="28"/>
            <w:lang w:val="en-US" w:eastAsia="zh-CN"/>
          </w:rPr>
          <m:t>−</m:t>
        </m:r>
        <m:sSub>
          <m:sSubPr>
            <m:ctrlPr>
              <w:rPr>
                <w:rFonts w:hint="eastAsia" w:ascii="Cambria Math" w:hAnsi="Cambria Math" w:eastAsia="仿宋" w:cs="仿宋"/>
                <w:color w:val="auto"/>
                <w:sz w:val="28"/>
                <w:szCs w:val="28"/>
                <w:lang w:val="en-US" w:eastAsia="zh-CN"/>
              </w:rPr>
            </m:ctrlPr>
          </m:sSubPr>
          <m:e>
            <m:r>
              <m:rPr>
                <m:sty m:val="p"/>
              </m:rPr>
              <w:rPr>
                <w:rFonts w:hint="eastAsia" w:ascii="Cambria Math" w:hAnsi="Cambria Math" w:eastAsia="仿宋" w:cs="仿宋"/>
                <w:color w:val="auto"/>
                <w:sz w:val="28"/>
                <w:szCs w:val="28"/>
                <w:lang w:val="en-US" w:eastAsia="zh-CN"/>
              </w:rPr>
              <m:t>E</m:t>
            </m:r>
            <m:ctrlPr>
              <w:rPr>
                <w:rFonts w:hint="eastAsia" w:ascii="Cambria Math" w:hAnsi="Cambria Math" w:eastAsia="仿宋" w:cs="仿宋"/>
                <w:color w:val="auto"/>
                <w:sz w:val="28"/>
                <w:szCs w:val="28"/>
                <w:lang w:val="en-US" w:eastAsia="zh-CN"/>
              </w:rPr>
            </m:ctrlPr>
          </m:e>
          <m:sub>
            <m:r>
              <m:rPr>
                <m:sty m:val="p"/>
              </m:rPr>
              <w:rPr>
                <w:rFonts w:hint="eastAsia" w:ascii="Cambria Math" w:hAnsi="Cambria Math" w:eastAsia="仿宋" w:cs="仿宋"/>
                <w:color w:val="auto"/>
                <w:sz w:val="28"/>
                <w:szCs w:val="28"/>
                <w:lang w:val="en-US" w:eastAsia="zh-CN"/>
              </w:rPr>
              <m:t>输出热</m:t>
            </m:r>
            <m:ctrlPr>
              <w:rPr>
                <w:rFonts w:hint="eastAsia" w:ascii="Cambria Math" w:hAnsi="Cambria Math" w:eastAsia="仿宋" w:cs="仿宋"/>
                <w:color w:val="auto"/>
                <w:sz w:val="28"/>
                <w:szCs w:val="28"/>
                <w:lang w:val="en-US" w:eastAsia="zh-CN"/>
              </w:rPr>
            </m:ctrlPr>
          </m:sub>
        </m:sSub>
      </m:oMath>
      <w:r>
        <w:rPr>
          <w:rFonts w:hint="eastAsia" w:hAnsi="Cambria Math" w:eastAsia="仿宋" w:cs="仿宋"/>
          <w:i w:val="0"/>
          <w:color w:val="auto"/>
          <w:sz w:val="28"/>
          <w:szCs w:val="28"/>
          <w:lang w:val="en-US" w:eastAsia="zh-CN"/>
        </w:rPr>
        <w:tab/>
      </w:r>
      <w:r>
        <w:rPr>
          <w:rFonts w:hint="eastAsia" w:hAnsi="Cambria Math" w:eastAsia="仿宋" w:cs="仿宋"/>
          <w:i w:val="0"/>
          <w:color w:val="auto"/>
          <w:sz w:val="28"/>
          <w:szCs w:val="28"/>
          <w:lang w:val="en-US" w:eastAsia="zh-CN"/>
        </w:rPr>
        <w:t>（</w:t>
      </w:r>
      <w:r>
        <w:rPr>
          <w:rFonts w:hint="eastAsia" w:ascii="仿宋" w:hAnsi="仿宋" w:eastAsia="仿宋" w:cs="仿宋"/>
          <w:color w:val="auto"/>
          <w:sz w:val="28"/>
          <w:szCs w:val="28"/>
          <w:lang w:val="en-US" w:eastAsia="zh-CN"/>
        </w:rPr>
        <w:t>3）</w:t>
      </w:r>
    </w:p>
    <w:p w14:paraId="4FE1A691">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式中：</w:t>
      </w:r>
    </w:p>
    <w:p w14:paraId="06539D65">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CO</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2</m:t>
                </m:r>
                <m:ctrlPr>
                  <w:rPr>
                    <w:rFonts w:hint="eastAsia" w:ascii="Cambria Math" w:hAnsi="Cambria Math" w:eastAsia="仿宋" w:cs="仿宋"/>
                    <w:color w:val="auto"/>
                    <w:sz w:val="30"/>
                    <w:szCs w:val="30"/>
                    <w:lang w:val="en-US" w:eastAsia="zh-CN"/>
                  </w:rPr>
                </m:ctrlPr>
              </m:sub>
            </m:sSub>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丙烯酸生产企业二氧化碳排放总量，单位为吨二氧化碳(tCO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63E6B4DE">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燃烧</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统计报告期内化石燃料燃烧产生的二氧化碳排放总量，单位为吨二氧化碳(tCO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53171E9B">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购入电</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统计报告期内购入电力产生的二氧化碳排放总量，单位为吨二氧化碳(tCO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35100CA4">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购入热</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统计报告期内购入热力产生的二氧化碳排放总量，单位为吨二氧化碳(tCO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7DEF48FA">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输出电</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统计报告期内输出电力产生的二氧化碳排放总量，单位为吨二氧化碳(tCO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6C462AD4">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输出热</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统计报告期内输出热力产生的二氧化碳排放总量，单位为吨二氧化碳(tCO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5A90A14F">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d）丙烯酸企业化石燃料燃烧排放按式（4） </w:t>
      </w:r>
      <w:r>
        <w:rPr>
          <w:rFonts w:hint="default" w:ascii="Times New Roman" w:hAnsi="Times New Roman" w:eastAsia="仿宋" w:cs="Times New Roman"/>
          <w:color w:val="auto"/>
          <w:sz w:val="30"/>
          <w:szCs w:val="30"/>
          <w:lang w:val="en-US" w:eastAsia="zh-CN"/>
        </w:rPr>
        <w:t>~</w:t>
      </w:r>
      <w:r>
        <w:rPr>
          <w:rFonts w:hint="eastAsia" w:ascii="仿宋" w:hAnsi="仿宋" w:eastAsia="仿宋" w:cs="仿宋"/>
          <w:color w:val="auto"/>
          <w:sz w:val="30"/>
          <w:szCs w:val="30"/>
          <w:lang w:val="en-US" w:eastAsia="zh-CN"/>
        </w:rPr>
        <w:t xml:space="preserve"> 式（6）计算：</w:t>
      </w:r>
    </w:p>
    <w:p w14:paraId="1A8086F3">
      <w:pPr>
        <w:keepNext w:val="0"/>
        <w:keepLines w:val="0"/>
        <w:pageBreakBefore w:val="0"/>
        <w:widowControl w:val="0"/>
        <w:tabs>
          <w:tab w:val="center" w:pos="4200"/>
          <w:tab w:val="right" w:leader="dot" w:pos="8400"/>
        </w:tabs>
        <w:kinsoku/>
        <w:wordWrap/>
        <w:overflowPunct/>
        <w:topLinePunct w:val="0"/>
        <w:autoSpaceDE/>
        <w:autoSpaceDN/>
        <w:bidi w:val="0"/>
        <w:adjustRightInd/>
        <w:snapToGrid/>
        <w:textAlignment w:val="auto"/>
        <w:rPr>
          <w:rFonts w:hint="eastAsia" w:ascii="仿宋" w:hAnsi="仿宋" w:eastAsia="仿宋" w:cs="仿宋"/>
          <w:color w:val="auto"/>
          <w:sz w:val="30"/>
          <w:szCs w:val="30"/>
          <w:lang w:val="en-US" w:eastAsia="zh-CN"/>
        </w:rPr>
      </w:pPr>
      <w:r>
        <w:rPr>
          <w:rFonts w:hint="eastAsia" w:hAnsi="Cambria Math" w:eastAsia="仿宋" w:cs="仿宋"/>
          <w:i w:val="0"/>
          <w:color w:val="auto"/>
          <w:sz w:val="30"/>
          <w:szCs w:val="30"/>
          <w:lang w:val="en-US" w:eastAsia="zh-CN"/>
        </w:rPr>
        <w:tab/>
      </w: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燃烧</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nary>
          <m:naryPr>
            <m:chr m:val="∑"/>
            <m:limLoc m:val="undOvr"/>
            <m:ctrlPr>
              <w:rPr>
                <w:rFonts w:hint="eastAsia" w:ascii="Cambria Math" w:hAnsi="Cambria Math" w:eastAsia="仿宋" w:cs="仿宋"/>
                <w:color w:val="auto"/>
                <w:sz w:val="30"/>
                <w:szCs w:val="30"/>
                <w:lang w:val="en-US" w:eastAsia="zh-CN"/>
              </w:rPr>
            </m:ctrlPr>
          </m:naryPr>
          <m:sub>
            <m:r>
              <m:rPr>
                <m:sty m:val="p"/>
              </m:rPr>
              <w:rPr>
                <w:rFonts w:hint="eastAsia" w:ascii="Cambria Math" w:hAnsi="Cambria Math" w:eastAsia="仿宋" w:cs="仿宋"/>
                <w:color w:val="auto"/>
                <w:sz w:val="30"/>
                <w:szCs w:val="30"/>
                <w:lang w:val="en-US" w:eastAsia="zh-CN"/>
              </w:rPr>
              <m:t>i=1</m:t>
            </m:r>
            <m:ctrlPr>
              <w:rPr>
                <w:rFonts w:hint="eastAsia" w:ascii="Cambria Math" w:hAnsi="Cambria Math" w:eastAsia="仿宋" w:cs="仿宋"/>
                <w:color w:val="auto"/>
                <w:sz w:val="30"/>
                <w:szCs w:val="30"/>
                <w:lang w:val="en-US" w:eastAsia="zh-CN"/>
              </w:rPr>
            </m:ctrlPr>
          </m:sub>
          <m:sup>
            <m:r>
              <m:rPr>
                <m:sty m:val="p"/>
              </m:rPr>
              <w:rPr>
                <w:rFonts w:hint="eastAsia" w:ascii="Cambria Math" w:hAnsi="Cambria Math" w:eastAsia="仿宋" w:cs="仿宋"/>
                <w:color w:val="auto"/>
                <w:sz w:val="30"/>
                <w:szCs w:val="30"/>
                <w:lang w:val="en-US" w:eastAsia="zh-CN"/>
              </w:rPr>
              <m:t>j</m:t>
            </m:r>
            <m:ctrlPr>
              <w:rPr>
                <w:rFonts w:hint="eastAsia" w:ascii="Cambria Math" w:hAnsi="Cambria Math" w:eastAsia="仿宋" w:cs="仿宋"/>
                <w:color w:val="auto"/>
                <w:sz w:val="30"/>
                <w:szCs w:val="30"/>
                <w:lang w:val="en-US" w:eastAsia="zh-CN"/>
              </w:rPr>
            </m:ctrlPr>
          </m:sup>
          <m:e>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ctrlPr>
              <w:rPr>
                <w:rFonts w:hint="eastAsia" w:ascii="Cambria Math" w:hAnsi="Cambria Math" w:eastAsia="仿宋" w:cs="仿宋"/>
                <w:color w:val="auto"/>
                <w:sz w:val="30"/>
                <w:szCs w:val="30"/>
                <w:lang w:val="en-US" w:eastAsia="zh-CN"/>
              </w:rPr>
            </m:ctrlPr>
          </m:e>
        </m:nary>
      </m:oMath>
      <w:r>
        <w:rPr>
          <w:rFonts w:hint="eastAsia" w:hAnsi="Cambria Math" w:eastAsia="仿宋" w:cs="仿宋"/>
          <w:i w:val="0"/>
          <w:color w:val="auto"/>
          <w:sz w:val="30"/>
          <w:szCs w:val="30"/>
          <w:lang w:val="en-US" w:eastAsia="zh-CN"/>
        </w:rPr>
        <w:tab/>
      </w:r>
      <w:r>
        <w:rPr>
          <w:rFonts w:hint="eastAsia" w:ascii="仿宋" w:hAnsi="仿宋" w:eastAsia="仿宋" w:cs="仿宋"/>
          <w:color w:val="auto"/>
          <w:sz w:val="30"/>
          <w:szCs w:val="30"/>
          <w:lang w:val="en-US" w:eastAsia="zh-CN"/>
        </w:rPr>
        <w:t>（4）</w:t>
      </w:r>
    </w:p>
    <w:p w14:paraId="6B384750">
      <w:pPr>
        <w:keepNext w:val="0"/>
        <w:keepLines w:val="0"/>
        <w:pageBreakBefore w:val="0"/>
        <w:widowControl w:val="0"/>
        <w:tabs>
          <w:tab w:val="center" w:pos="4200"/>
          <w:tab w:val="right" w:leader="dot" w:pos="8400"/>
        </w:tabs>
        <w:kinsoku/>
        <w:wordWrap/>
        <w:overflowPunct/>
        <w:topLinePunct w:val="0"/>
        <w:autoSpaceDE/>
        <w:autoSpaceDN/>
        <w:bidi w:val="0"/>
        <w:adjustRightInd/>
        <w:snapToGrid/>
        <w:textAlignment w:val="auto"/>
        <w:rPr>
          <w:rFonts w:hint="eastAsia" w:ascii="仿宋" w:hAnsi="仿宋" w:eastAsia="仿宋" w:cs="仿宋"/>
          <w:color w:val="auto"/>
          <w:sz w:val="30"/>
          <w:szCs w:val="30"/>
          <w:lang w:val="en-US" w:eastAsia="zh-CN"/>
        </w:rPr>
      </w:pPr>
      <w:r>
        <w:rPr>
          <w:rFonts w:hint="eastAsia" w:hAnsi="Cambria Math" w:eastAsia="仿宋" w:cs="仿宋"/>
          <w:i w:val="0"/>
          <w:color w:val="auto"/>
          <w:sz w:val="30"/>
          <w:szCs w:val="30"/>
          <w:lang w:val="en-US" w:eastAsia="zh-CN"/>
        </w:rPr>
        <w:tab/>
      </w: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NCV</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FC</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oMath>
      <w:r>
        <w:rPr>
          <w:rFonts w:hint="eastAsia" w:hAnsi="Cambria Math" w:eastAsia="仿宋" w:cs="仿宋"/>
          <w:i w:val="0"/>
          <w:color w:val="auto"/>
          <w:sz w:val="30"/>
          <w:szCs w:val="30"/>
          <w:lang w:val="en-US" w:eastAsia="zh-CN"/>
        </w:rPr>
        <w:tab/>
      </w:r>
      <w:r>
        <w:rPr>
          <w:rFonts w:hint="eastAsia" w:ascii="仿宋" w:hAnsi="仿宋" w:eastAsia="仿宋" w:cs="仿宋"/>
          <w:color w:val="auto"/>
          <w:sz w:val="30"/>
          <w:szCs w:val="30"/>
          <w:lang w:val="en-US" w:eastAsia="zh-CN"/>
        </w:rPr>
        <w:t>（5）</w:t>
      </w:r>
    </w:p>
    <w:p w14:paraId="46DCB09B">
      <w:pPr>
        <w:keepNext w:val="0"/>
        <w:keepLines w:val="0"/>
        <w:pageBreakBefore w:val="0"/>
        <w:widowControl w:val="0"/>
        <w:tabs>
          <w:tab w:val="center" w:pos="4200"/>
          <w:tab w:val="right" w:leader="dot" w:pos="8400"/>
        </w:tabs>
        <w:kinsoku/>
        <w:wordWrap/>
        <w:overflowPunct/>
        <w:topLinePunct w:val="0"/>
        <w:autoSpaceDE/>
        <w:autoSpaceDN/>
        <w:bidi w:val="0"/>
        <w:adjustRightInd/>
        <w:snapToGrid/>
        <w:textAlignment w:val="auto"/>
        <w:rPr>
          <w:rFonts w:hint="eastAsia" w:ascii="仿宋" w:hAnsi="仿宋" w:eastAsia="仿宋" w:cs="仿宋"/>
          <w:color w:val="auto"/>
          <w:sz w:val="30"/>
          <w:szCs w:val="30"/>
          <w:lang w:val="en-US" w:eastAsia="zh-CN"/>
        </w:rPr>
      </w:pPr>
      <w:r>
        <w:rPr>
          <w:rFonts w:hint="eastAsia" w:hAnsi="Cambria Math" w:eastAsia="仿宋" w:cs="仿宋"/>
          <w:i w:val="0"/>
          <w:color w:val="auto"/>
          <w:sz w:val="30"/>
          <w:szCs w:val="30"/>
          <w:lang w:val="en-US" w:eastAsia="zh-CN"/>
        </w:rPr>
        <w:tab/>
      </w: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CC</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OF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f>
          <m:fPr>
            <m:ctrlPr>
              <w:rPr>
                <w:rFonts w:hint="eastAsia" w:ascii="Cambria Math" w:hAnsi="Cambria Math" w:eastAsia="仿宋" w:cs="仿宋"/>
                <w:color w:val="auto"/>
                <w:sz w:val="30"/>
                <w:szCs w:val="30"/>
                <w:lang w:val="en-US" w:eastAsia="zh-CN"/>
              </w:rPr>
            </m:ctrlPr>
          </m:fPr>
          <m:num>
            <m:r>
              <m:rPr>
                <m:sty m:val="p"/>
              </m:rPr>
              <w:rPr>
                <w:rFonts w:hint="eastAsia" w:ascii="Cambria Math" w:hAnsi="Cambria Math" w:eastAsia="仿宋" w:cs="仿宋"/>
                <w:color w:val="auto"/>
                <w:sz w:val="30"/>
                <w:szCs w:val="30"/>
                <w:lang w:val="en-US" w:eastAsia="zh-CN"/>
              </w:rPr>
              <m:t>44</m:t>
            </m:r>
            <m:ctrlPr>
              <w:rPr>
                <w:rFonts w:hint="eastAsia" w:ascii="Cambria Math" w:hAnsi="Cambria Math" w:eastAsia="仿宋" w:cs="仿宋"/>
                <w:color w:val="auto"/>
                <w:sz w:val="30"/>
                <w:szCs w:val="30"/>
                <w:lang w:val="en-US" w:eastAsia="zh-CN"/>
              </w:rPr>
            </m:ctrlPr>
          </m:num>
          <m:den>
            <m:r>
              <m:rPr>
                <m:sty m:val="p"/>
              </m:rPr>
              <w:rPr>
                <w:rFonts w:hint="eastAsia" w:ascii="Cambria Math" w:hAnsi="Cambria Math" w:eastAsia="仿宋" w:cs="仿宋"/>
                <w:color w:val="auto"/>
                <w:sz w:val="30"/>
                <w:szCs w:val="30"/>
                <w:lang w:val="en-US" w:eastAsia="zh-CN"/>
              </w:rPr>
              <m:t>12</m:t>
            </m:r>
            <m:ctrlPr>
              <w:rPr>
                <w:rFonts w:hint="eastAsia" w:ascii="Cambria Math" w:hAnsi="Cambria Math" w:eastAsia="仿宋" w:cs="仿宋"/>
                <w:color w:val="auto"/>
                <w:sz w:val="30"/>
                <w:szCs w:val="30"/>
                <w:lang w:val="en-US" w:eastAsia="zh-CN"/>
              </w:rPr>
            </m:ctrlPr>
          </m:den>
        </m:f>
      </m:oMath>
      <w:r>
        <w:rPr>
          <w:rFonts w:hint="eastAsia" w:hAnsi="Cambria Math" w:eastAsia="仿宋" w:cs="仿宋"/>
          <w:i w:val="0"/>
          <w:color w:val="auto"/>
          <w:sz w:val="30"/>
          <w:szCs w:val="30"/>
          <w:lang w:val="en-US" w:eastAsia="zh-CN"/>
        </w:rPr>
        <w:tab/>
      </w:r>
      <w:r>
        <w:rPr>
          <w:rFonts w:hint="eastAsia" w:ascii="仿宋" w:hAnsi="仿宋" w:eastAsia="仿宋" w:cs="仿宋"/>
          <w:color w:val="auto"/>
          <w:sz w:val="30"/>
          <w:szCs w:val="30"/>
          <w:lang w:val="en-US" w:eastAsia="zh-CN"/>
        </w:rPr>
        <w:t>（6）</w:t>
      </w:r>
    </w:p>
    <w:p w14:paraId="1EB4F213">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式中：</w:t>
      </w:r>
    </w:p>
    <w:p w14:paraId="6092CD2B">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燃烧</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丙烯酸生产企业统计报告期内化石燃料燃烧产生的二氧化碳排放总量，单位为吨二氧化碳(tCO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15DA40EE">
      <w:pPr>
        <w:ind w:firstLine="600" w:firstLineChars="200"/>
        <w:rPr>
          <w:rFonts w:hint="eastAsia" w:ascii="仿宋" w:hAnsi="仿宋" w:eastAsia="仿宋" w:cs="仿宋"/>
          <w:color w:val="auto"/>
          <w:sz w:val="30"/>
          <w:szCs w:val="30"/>
          <w:lang w:val="en-US" w:eastAsia="zh-CN"/>
        </w:rPr>
      </w:pPr>
      <m:oMath>
        <m:r>
          <m:rPr>
            <m:sty m:val="p"/>
          </m:rPr>
          <w:rPr>
            <w:rFonts w:hint="eastAsia" w:ascii="Cambria Math" w:hAnsi="Cambria Math" w:eastAsia="仿宋" w:cs="仿宋"/>
            <w:color w:val="auto"/>
            <w:sz w:val="30"/>
            <w:szCs w:val="30"/>
            <w:lang w:val="en-US" w:eastAsia="zh-CN"/>
          </w:rPr>
          <m:t>j</m:t>
        </m:r>
      </m:oMath>
      <w:r>
        <w:rPr>
          <w:rFonts w:hint="eastAsia" w:ascii="仿宋" w:hAnsi="仿宋" w:eastAsia="仿宋" w:cs="仿宋"/>
          <w:color w:val="auto"/>
          <w:sz w:val="30"/>
          <w:szCs w:val="30"/>
          <w:lang w:val="en-US" w:eastAsia="zh-CN"/>
        </w:rPr>
        <w:t xml:space="preserve"> — 统计报告期内消耗的化石燃料种类；</w:t>
      </w:r>
    </w:p>
    <w:p w14:paraId="278E51B9">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统计报告期内第 i 种化石燃料用作化石燃料燃烧的活动数据，不包括生产过程中产生的副产品或可燃废气被回收并作为化石燃料燃烧的部分，单位为吉焦（GJ）；</w:t>
      </w:r>
    </w:p>
    <w:p w14:paraId="1DBB94AA">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统计报告期内第 i 种化石燃料的二氧化碳排放因子，单位为吨二氧化碳/吉焦（tCO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/GJ）；</w:t>
      </w:r>
    </w:p>
    <w:p w14:paraId="22710513">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NCV</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统计报告期内第 i 种化石燃料的平均低位发热量，对于固体或液体燃料，单位为吉焦/吨（GJ/t）；对于气体燃料，单位为吉焦/万标立方米（GJ/万Nm</w:t>
      </w:r>
      <w:r>
        <w:rPr>
          <w:rFonts w:hint="eastAsia" w:ascii="仿宋" w:hAnsi="仿宋" w:eastAsia="仿宋" w:cs="仿宋"/>
          <w:color w:val="auto"/>
          <w:sz w:val="30"/>
          <w:szCs w:val="30"/>
          <w:vertAlign w:val="superscript"/>
          <w:lang w:val="en-US" w:eastAsia="zh-CN"/>
        </w:rPr>
        <w:t>3</w:t>
      </w:r>
      <w:r>
        <w:rPr>
          <w:rFonts w:hint="eastAsia" w:ascii="仿宋" w:hAnsi="仿宋" w:eastAsia="仿宋" w:cs="仿宋"/>
          <w:color w:val="auto"/>
          <w:sz w:val="30"/>
          <w:szCs w:val="30"/>
          <w:lang w:val="en-US" w:eastAsia="zh-CN"/>
        </w:rPr>
        <w:t>）；</w:t>
      </w:r>
    </w:p>
    <w:p w14:paraId="31834F82">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FC</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统计报告期内第 i 种化石燃料用作化石燃料燃烧的消耗量，对于固体或液体燃料，单位为吨（t）；对于气体燃料，单位为万标立方米（万Nm</w:t>
      </w:r>
      <w:r>
        <w:rPr>
          <w:rFonts w:hint="eastAsia" w:ascii="仿宋" w:hAnsi="仿宋" w:eastAsia="仿宋" w:cs="仿宋"/>
          <w:color w:val="auto"/>
          <w:sz w:val="30"/>
          <w:szCs w:val="30"/>
          <w:vertAlign w:val="superscript"/>
          <w:lang w:val="en-US" w:eastAsia="zh-CN"/>
        </w:rPr>
        <w:t>3</w:t>
      </w:r>
      <w:r>
        <w:rPr>
          <w:rFonts w:hint="eastAsia" w:ascii="仿宋" w:hAnsi="仿宋" w:eastAsia="仿宋" w:cs="仿宋"/>
          <w:color w:val="auto"/>
          <w:sz w:val="30"/>
          <w:szCs w:val="30"/>
          <w:lang w:val="en-US" w:eastAsia="zh-CN"/>
        </w:rPr>
        <w:t>）；</w:t>
      </w:r>
    </w:p>
    <w:p w14:paraId="5EEB2ED1">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CC</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统计报告期内第 i 种化石燃料的单位热值含碳量，单位为吨碳/吉焦（tC/GJ）；</w:t>
      </w:r>
    </w:p>
    <w:p w14:paraId="16DAED02">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OF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统计报告期内第 i 种化石燃料的碳氧化率，单位为%。</w:t>
      </w:r>
    </w:p>
    <w:p w14:paraId="26AA2567">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e）购入的电力、热力产生的排放按式（7）、式（8）计算：</w:t>
      </w:r>
    </w:p>
    <w:p w14:paraId="061496AE">
      <w:pPr>
        <w:keepNext w:val="0"/>
        <w:keepLines w:val="0"/>
        <w:pageBreakBefore w:val="0"/>
        <w:widowControl w:val="0"/>
        <w:tabs>
          <w:tab w:val="center" w:pos="4200"/>
          <w:tab w:val="right" w:leader="dot" w:pos="8400"/>
        </w:tabs>
        <w:kinsoku/>
        <w:wordWrap/>
        <w:overflowPunct/>
        <w:topLinePunct w:val="0"/>
        <w:autoSpaceDE/>
        <w:autoSpaceDN/>
        <w:bidi w:val="0"/>
        <w:adjustRightInd/>
        <w:snapToGrid/>
        <w:textAlignment w:val="auto"/>
        <w:rPr>
          <w:rFonts w:hint="eastAsia" w:ascii="仿宋" w:hAnsi="仿宋" w:eastAsia="仿宋" w:cs="仿宋"/>
          <w:color w:val="auto"/>
          <w:sz w:val="30"/>
          <w:szCs w:val="30"/>
          <w:lang w:val="en-US" w:eastAsia="zh-CN"/>
        </w:rPr>
      </w:pPr>
      <w:r>
        <w:rPr>
          <w:rFonts w:hint="eastAsia" w:hAnsi="Cambria Math" w:eastAsia="仿宋" w:cs="仿宋"/>
          <w:i w:val="0"/>
          <w:color w:val="auto"/>
          <w:sz w:val="30"/>
          <w:szCs w:val="30"/>
          <w:lang w:val="en-US" w:eastAsia="zh-CN"/>
        </w:rPr>
        <w:tab/>
      </w: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购入电</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购入电</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电</m:t>
            </m:r>
            <m:ctrlPr>
              <w:rPr>
                <w:rFonts w:hint="eastAsia" w:ascii="Cambria Math" w:hAnsi="Cambria Math" w:eastAsia="仿宋" w:cs="仿宋"/>
                <w:color w:val="auto"/>
                <w:sz w:val="30"/>
                <w:szCs w:val="30"/>
                <w:lang w:val="en-US" w:eastAsia="zh-CN"/>
              </w:rPr>
            </m:ctrlPr>
          </m:sub>
        </m:sSub>
      </m:oMath>
      <w:r>
        <w:rPr>
          <w:rFonts w:hint="eastAsia" w:hAnsi="Cambria Math" w:eastAsia="仿宋" w:cs="仿宋"/>
          <w:i w:val="0"/>
          <w:color w:val="auto"/>
          <w:sz w:val="30"/>
          <w:szCs w:val="30"/>
          <w:lang w:val="en-US" w:eastAsia="zh-CN"/>
        </w:rPr>
        <w:tab/>
      </w:r>
      <w:r>
        <w:rPr>
          <w:rFonts w:hint="eastAsia" w:ascii="仿宋" w:hAnsi="仿宋" w:eastAsia="仿宋" w:cs="仿宋"/>
          <w:color w:val="auto"/>
          <w:sz w:val="30"/>
          <w:szCs w:val="30"/>
          <w:lang w:val="en-US" w:eastAsia="zh-CN"/>
        </w:rPr>
        <w:t>（7）</w:t>
      </w:r>
    </w:p>
    <w:p w14:paraId="64A02C07">
      <w:pPr>
        <w:keepNext w:val="0"/>
        <w:keepLines w:val="0"/>
        <w:pageBreakBefore w:val="0"/>
        <w:widowControl w:val="0"/>
        <w:tabs>
          <w:tab w:val="center" w:pos="4200"/>
          <w:tab w:val="right" w:leader="dot" w:pos="8400"/>
        </w:tabs>
        <w:kinsoku/>
        <w:wordWrap/>
        <w:overflowPunct/>
        <w:topLinePunct w:val="0"/>
        <w:autoSpaceDE/>
        <w:autoSpaceDN/>
        <w:bidi w:val="0"/>
        <w:adjustRightInd/>
        <w:snapToGrid/>
        <w:textAlignment w:val="auto"/>
        <w:rPr>
          <w:rFonts w:hint="eastAsia" w:ascii="仿宋" w:hAnsi="仿宋" w:eastAsia="仿宋" w:cs="仿宋"/>
          <w:color w:val="auto"/>
          <w:sz w:val="30"/>
          <w:szCs w:val="30"/>
          <w:lang w:val="en-US" w:eastAsia="zh-CN"/>
        </w:rPr>
      </w:pPr>
      <w:r>
        <w:rPr>
          <w:rFonts w:hint="eastAsia" w:hAnsi="Cambria Math" w:eastAsia="仿宋" w:cs="仿宋"/>
          <w:i w:val="0"/>
          <w:color w:val="auto"/>
          <w:sz w:val="30"/>
          <w:szCs w:val="30"/>
          <w:lang w:val="en-US" w:eastAsia="zh-CN"/>
        </w:rPr>
        <w:tab/>
      </w: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购入热</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购入热</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热</m:t>
            </m:r>
            <m:ctrlPr>
              <w:rPr>
                <w:rFonts w:hint="eastAsia" w:ascii="Cambria Math" w:hAnsi="Cambria Math" w:eastAsia="仿宋" w:cs="仿宋"/>
                <w:color w:val="auto"/>
                <w:sz w:val="30"/>
                <w:szCs w:val="30"/>
                <w:lang w:val="en-US" w:eastAsia="zh-CN"/>
              </w:rPr>
            </m:ctrlPr>
          </m:sub>
        </m:sSub>
      </m:oMath>
      <w:r>
        <w:rPr>
          <w:rFonts w:hint="eastAsia" w:hAnsi="Cambria Math" w:eastAsia="仿宋" w:cs="仿宋"/>
          <w:i w:val="0"/>
          <w:color w:val="auto"/>
          <w:sz w:val="30"/>
          <w:szCs w:val="30"/>
          <w:lang w:val="en-US" w:eastAsia="zh-CN"/>
        </w:rPr>
        <w:tab/>
      </w:r>
      <w:r>
        <w:rPr>
          <w:rFonts w:hint="eastAsia" w:ascii="仿宋" w:hAnsi="仿宋" w:eastAsia="仿宋" w:cs="仿宋"/>
          <w:color w:val="auto"/>
          <w:sz w:val="30"/>
          <w:szCs w:val="30"/>
          <w:lang w:val="en-US" w:eastAsia="zh-CN"/>
        </w:rPr>
        <w:t>（8）</w:t>
      </w:r>
    </w:p>
    <w:p w14:paraId="10BDFEDE">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式中：</w:t>
      </w:r>
    </w:p>
    <w:p w14:paraId="0FB3A78E">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购入电</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丙烯酸生产企业购入电力所产生的二氧化碳排放总量，单位为吨二氧化碳(tCO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4423433D">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购入电</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统计报告期内购入电力量，单位为兆瓦时（MWh）；</w:t>
      </w:r>
    </w:p>
    <w:p w14:paraId="5689D131">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电</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电力二氧化碳排放因子，单位为吨二氧化碳/兆瓦时（tCO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/MWh）；</w:t>
      </w:r>
    </w:p>
    <w:p w14:paraId="152EAA35">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购入热</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丙烯酸生产企业购入热力所产生的二氧化碳排放总量，单位为吨二氧化碳(tCO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482C3033">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购入热</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统计报告期内购入热力量，单位为吉焦（GJ）；</w:t>
      </w:r>
    </w:p>
    <w:p w14:paraId="66D2ED48">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热</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热力二氧化碳排放因子，单位为吨二氧化碳/吉焦（tCO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/GJ）。</w:t>
      </w:r>
    </w:p>
    <w:p w14:paraId="37ED9FEE">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f）输出的电力、热力产生的排放按式（9）、式（10）计算：</w:t>
      </w:r>
    </w:p>
    <w:p w14:paraId="3444BAE1">
      <w:pPr>
        <w:keepNext w:val="0"/>
        <w:keepLines w:val="0"/>
        <w:pageBreakBefore w:val="0"/>
        <w:widowControl w:val="0"/>
        <w:tabs>
          <w:tab w:val="center" w:pos="4200"/>
          <w:tab w:val="right" w:leader="dot" w:pos="8400"/>
        </w:tabs>
        <w:kinsoku/>
        <w:wordWrap/>
        <w:overflowPunct/>
        <w:topLinePunct w:val="0"/>
        <w:autoSpaceDE/>
        <w:autoSpaceDN/>
        <w:bidi w:val="0"/>
        <w:adjustRightInd/>
        <w:snapToGrid/>
        <w:textAlignment w:val="auto"/>
        <w:rPr>
          <w:rFonts w:hint="eastAsia" w:ascii="仿宋" w:hAnsi="仿宋" w:eastAsia="仿宋" w:cs="仿宋"/>
          <w:color w:val="auto"/>
          <w:sz w:val="30"/>
          <w:szCs w:val="30"/>
          <w:lang w:val="en-US" w:eastAsia="zh-CN"/>
        </w:rPr>
      </w:pPr>
      <w:r>
        <w:rPr>
          <w:rFonts w:hint="eastAsia" w:hAnsi="Cambria Math" w:eastAsia="仿宋" w:cs="仿宋"/>
          <w:i w:val="0"/>
          <w:color w:val="auto"/>
          <w:sz w:val="30"/>
          <w:szCs w:val="30"/>
          <w:lang w:val="en-US" w:eastAsia="zh-CN"/>
        </w:rPr>
        <w:tab/>
      </w: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输出电</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输出电</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电</m:t>
            </m:r>
            <m:ctrlPr>
              <w:rPr>
                <w:rFonts w:hint="eastAsia" w:ascii="Cambria Math" w:hAnsi="Cambria Math" w:eastAsia="仿宋" w:cs="仿宋"/>
                <w:color w:val="auto"/>
                <w:sz w:val="30"/>
                <w:szCs w:val="30"/>
                <w:lang w:val="en-US" w:eastAsia="zh-CN"/>
              </w:rPr>
            </m:ctrlPr>
          </m:sub>
        </m:sSub>
      </m:oMath>
      <w:r>
        <w:rPr>
          <w:rFonts w:hint="eastAsia" w:hAnsi="Cambria Math" w:eastAsia="仿宋" w:cs="仿宋"/>
          <w:i w:val="0"/>
          <w:color w:val="auto"/>
          <w:sz w:val="30"/>
          <w:szCs w:val="30"/>
          <w:lang w:val="en-US" w:eastAsia="zh-CN"/>
        </w:rPr>
        <w:tab/>
      </w:r>
      <w:r>
        <w:rPr>
          <w:rFonts w:hint="eastAsia" w:ascii="仿宋" w:hAnsi="仿宋" w:eastAsia="仿宋" w:cs="仿宋"/>
          <w:color w:val="auto"/>
          <w:sz w:val="30"/>
          <w:szCs w:val="30"/>
          <w:lang w:val="en-US" w:eastAsia="zh-CN"/>
        </w:rPr>
        <w:t>（9）</w:t>
      </w:r>
    </w:p>
    <w:p w14:paraId="4F4A8845">
      <w:pPr>
        <w:keepNext w:val="0"/>
        <w:keepLines w:val="0"/>
        <w:pageBreakBefore w:val="0"/>
        <w:widowControl w:val="0"/>
        <w:tabs>
          <w:tab w:val="center" w:pos="4200"/>
          <w:tab w:val="right" w:leader="dot" w:pos="8400"/>
        </w:tabs>
        <w:kinsoku/>
        <w:wordWrap/>
        <w:overflowPunct/>
        <w:topLinePunct w:val="0"/>
        <w:autoSpaceDE/>
        <w:autoSpaceDN/>
        <w:bidi w:val="0"/>
        <w:adjustRightInd/>
        <w:snapToGrid/>
        <w:textAlignment w:val="auto"/>
        <w:rPr>
          <w:rFonts w:hint="eastAsia" w:ascii="仿宋" w:hAnsi="仿宋" w:eastAsia="仿宋" w:cs="仿宋"/>
          <w:color w:val="auto"/>
          <w:sz w:val="30"/>
          <w:szCs w:val="30"/>
          <w:lang w:val="en-US" w:eastAsia="zh-CN"/>
        </w:rPr>
      </w:pPr>
      <w:r>
        <w:rPr>
          <w:rFonts w:hint="eastAsia" w:hAnsi="Cambria Math" w:eastAsia="仿宋" w:cs="仿宋"/>
          <w:i w:val="0"/>
          <w:color w:val="auto"/>
          <w:sz w:val="30"/>
          <w:szCs w:val="30"/>
          <w:lang w:val="en-US" w:eastAsia="zh-CN"/>
        </w:rPr>
        <w:tab/>
      </w: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输出热</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输出热</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热</m:t>
            </m:r>
            <m:ctrlPr>
              <w:rPr>
                <w:rFonts w:hint="eastAsia" w:ascii="Cambria Math" w:hAnsi="Cambria Math" w:eastAsia="仿宋" w:cs="仿宋"/>
                <w:color w:val="auto"/>
                <w:sz w:val="30"/>
                <w:szCs w:val="30"/>
                <w:lang w:val="en-US" w:eastAsia="zh-CN"/>
              </w:rPr>
            </m:ctrlPr>
          </m:sub>
        </m:sSub>
      </m:oMath>
      <w:r>
        <w:rPr>
          <w:rFonts w:hint="eastAsia" w:hAnsi="Cambria Math" w:eastAsia="仿宋" w:cs="仿宋"/>
          <w:i w:val="0"/>
          <w:color w:val="auto"/>
          <w:sz w:val="30"/>
          <w:szCs w:val="30"/>
          <w:lang w:val="en-US" w:eastAsia="zh-CN"/>
        </w:rPr>
        <w:tab/>
      </w:r>
      <w:r>
        <w:rPr>
          <w:rFonts w:hint="eastAsia" w:ascii="仿宋" w:hAnsi="仿宋" w:eastAsia="仿宋" w:cs="仿宋"/>
          <w:color w:val="auto"/>
          <w:sz w:val="30"/>
          <w:szCs w:val="30"/>
          <w:lang w:val="en-US" w:eastAsia="zh-CN"/>
        </w:rPr>
        <w:t>（10）</w:t>
      </w:r>
    </w:p>
    <w:p w14:paraId="1197C707">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式中：</w:t>
      </w:r>
    </w:p>
    <w:p w14:paraId="5415A1A8">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输出电</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丙烯酸生产企业输出电力所产生的二氧化碳排放总量，单位为吨二氧化碳(tCO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1AA635CD">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输出电</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统计报告期内输出电力量，单位为兆瓦时（MWh）；</w:t>
      </w:r>
    </w:p>
    <w:p w14:paraId="5C320286">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电</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电力二氧化碳排放因子，单位为吨二氧化碳/兆瓦时（tCO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/MWh）；</w:t>
      </w:r>
    </w:p>
    <w:p w14:paraId="1B081C17">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输出热</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丙烯酸生产企业输出热力所产生的二氧化碳排放总量，单位为吨二氧化碳(tCO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6E831990">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输出热</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统计报告期内输出热力量，单位为吉焦（GJ）；</w:t>
      </w:r>
    </w:p>
    <w:p w14:paraId="79ACF53F">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热</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热力二氧化碳排放因子，单位为吨二氧化碳/兆瓦时（tCO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/GJ）。</w:t>
      </w:r>
    </w:p>
    <w:p w14:paraId="72E7BE09">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g）丙烯酸单位产品二氧化碳排放量按式（11）计算：</w:t>
      </w:r>
    </w:p>
    <w:p w14:paraId="7BC9F8E7">
      <w:pPr>
        <w:keepNext w:val="0"/>
        <w:keepLines w:val="0"/>
        <w:pageBreakBefore w:val="0"/>
        <w:widowControl w:val="0"/>
        <w:tabs>
          <w:tab w:val="center" w:pos="4200"/>
          <w:tab w:val="right" w:leader="dot" w:pos="8400"/>
        </w:tabs>
        <w:kinsoku/>
        <w:wordWrap/>
        <w:overflowPunct/>
        <w:topLinePunct w:val="0"/>
        <w:autoSpaceDE/>
        <w:autoSpaceDN/>
        <w:bidi w:val="0"/>
        <w:adjustRightInd/>
        <w:snapToGrid/>
        <w:textAlignment w:val="auto"/>
        <w:rPr>
          <w:rFonts w:hint="eastAsia" w:ascii="仿宋" w:hAnsi="仿宋" w:eastAsia="仿宋" w:cs="仿宋"/>
          <w:color w:val="auto"/>
          <w:sz w:val="30"/>
          <w:szCs w:val="30"/>
          <w:lang w:val="en-US" w:eastAsia="zh-CN"/>
        </w:rPr>
      </w:pPr>
      <w:r>
        <w:rPr>
          <w:rFonts w:hint="eastAsia" w:hAnsi="Cambria Math" w:eastAsia="仿宋" w:cs="仿宋"/>
          <w:i w:val="0"/>
          <w:color w:val="auto"/>
          <w:sz w:val="30"/>
          <w:szCs w:val="30"/>
          <w:lang w:val="en-US" w:eastAsia="zh-CN"/>
        </w:rPr>
        <w:tab/>
      </w: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CO</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2</m:t>
                </m:r>
                <m:ctrlPr>
                  <w:rPr>
                    <w:rFonts w:hint="eastAsia" w:ascii="Cambria Math" w:hAnsi="Cambria Math" w:eastAsia="仿宋" w:cs="仿宋"/>
                    <w:color w:val="auto"/>
                    <w:sz w:val="30"/>
                    <w:szCs w:val="30"/>
                    <w:lang w:val="en-US" w:eastAsia="zh-CN"/>
                  </w:rPr>
                </m:ctrlPr>
              </m:sub>
            </m:sSub>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f>
          <m:fPr>
            <m:ctrlPr>
              <w:rPr>
                <w:rFonts w:hint="eastAsia" w:ascii="Cambria Math" w:hAnsi="Cambria Math" w:eastAsia="仿宋" w:cs="仿宋"/>
                <w:color w:val="auto"/>
                <w:sz w:val="30"/>
                <w:szCs w:val="30"/>
                <w:lang w:val="en-US" w:eastAsia="zh-CN"/>
              </w:rPr>
            </m:ctrlPr>
          </m:fPr>
          <m:num>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CO</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2</m:t>
                    </m:r>
                    <m:ctrlPr>
                      <w:rPr>
                        <w:rFonts w:hint="eastAsia" w:ascii="Cambria Math" w:hAnsi="Cambria Math" w:eastAsia="仿宋" w:cs="仿宋"/>
                        <w:color w:val="auto"/>
                        <w:sz w:val="30"/>
                        <w:szCs w:val="30"/>
                        <w:lang w:val="en-US" w:eastAsia="zh-CN"/>
                      </w:rPr>
                    </m:ctrlPr>
                  </m:sub>
                </m:sSub>
                <m:ctrlPr>
                  <w:rPr>
                    <w:rFonts w:hint="eastAsia" w:ascii="Cambria Math" w:hAnsi="Cambria Math" w:eastAsia="仿宋" w:cs="仿宋"/>
                    <w:color w:val="auto"/>
                    <w:sz w:val="30"/>
                    <w:szCs w:val="30"/>
                    <w:lang w:val="en-US" w:eastAsia="zh-CN"/>
                  </w:rPr>
                </m:ctrlPr>
              </m:sub>
            </m:sSub>
            <m:ctrlPr>
              <w:rPr>
                <w:rFonts w:hint="eastAsia" w:ascii="Cambria Math" w:hAnsi="Cambria Math" w:eastAsia="仿宋" w:cs="仿宋"/>
                <w:color w:val="auto"/>
                <w:sz w:val="30"/>
                <w:szCs w:val="30"/>
                <w:lang w:val="en-US" w:eastAsia="zh-CN"/>
              </w:rPr>
            </m:ctrlPr>
          </m:num>
          <m:den>
            <m:r>
              <m:rPr>
                <m:sty m:val="p"/>
              </m:rPr>
              <w:rPr>
                <w:rFonts w:hint="eastAsia" w:ascii="Cambria Math" w:hAnsi="Cambria Math" w:eastAsia="仿宋" w:cs="仿宋"/>
                <w:color w:val="auto"/>
                <w:sz w:val="30"/>
                <w:szCs w:val="30"/>
                <w:lang w:val="en-US" w:eastAsia="zh-CN"/>
              </w:rPr>
              <m:t>P</m:t>
            </m:r>
            <m:ctrlPr>
              <w:rPr>
                <w:rFonts w:hint="eastAsia" w:ascii="Cambria Math" w:hAnsi="Cambria Math" w:eastAsia="仿宋" w:cs="仿宋"/>
                <w:color w:val="auto"/>
                <w:sz w:val="30"/>
                <w:szCs w:val="30"/>
                <w:lang w:val="en-US" w:eastAsia="zh-CN"/>
              </w:rPr>
            </m:ctrlPr>
          </m:den>
        </m:f>
      </m:oMath>
      <w:r>
        <w:rPr>
          <w:rFonts w:hint="eastAsia" w:hAnsi="Cambria Math" w:eastAsia="仿宋" w:cs="仿宋"/>
          <w:i w:val="0"/>
          <w:color w:val="auto"/>
          <w:sz w:val="30"/>
          <w:szCs w:val="30"/>
          <w:lang w:val="en-US" w:eastAsia="zh-CN"/>
        </w:rPr>
        <w:tab/>
      </w:r>
      <w:r>
        <w:rPr>
          <w:rFonts w:hint="eastAsia" w:ascii="仿宋" w:hAnsi="仿宋" w:eastAsia="仿宋" w:cs="仿宋"/>
          <w:color w:val="auto"/>
          <w:sz w:val="30"/>
          <w:szCs w:val="30"/>
          <w:lang w:val="en-US" w:eastAsia="zh-CN"/>
        </w:rPr>
        <w:t>（11）</w:t>
      </w:r>
    </w:p>
    <w:p w14:paraId="1B4DD991">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式中：</w:t>
      </w:r>
    </w:p>
    <w:p w14:paraId="65ABCE27">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CO</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2</m:t>
                </m:r>
                <m:ctrlPr>
                  <w:rPr>
                    <w:rFonts w:hint="eastAsia" w:ascii="Cambria Math" w:hAnsi="Cambria Math" w:eastAsia="仿宋" w:cs="仿宋"/>
                    <w:color w:val="auto"/>
                    <w:sz w:val="30"/>
                    <w:szCs w:val="30"/>
                    <w:lang w:val="en-US" w:eastAsia="zh-CN"/>
                  </w:rPr>
                </m:ctrlPr>
              </m:sub>
            </m:sSub>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丙烯酸单位产品二氧化碳排放量，单位为千克二氧化碳/吨（kgCO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/t）；</w:t>
      </w:r>
    </w:p>
    <w:p w14:paraId="30CCA173">
      <w:pPr>
        <w:ind w:firstLine="600" w:firstLineChars="200"/>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CO</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2</m:t>
                </m:r>
                <m:ctrlPr>
                  <w:rPr>
                    <w:rFonts w:hint="eastAsia" w:ascii="Cambria Math" w:hAnsi="Cambria Math" w:eastAsia="仿宋" w:cs="仿宋"/>
                    <w:color w:val="auto"/>
                    <w:sz w:val="30"/>
                    <w:szCs w:val="30"/>
                    <w:lang w:val="en-US" w:eastAsia="zh-CN"/>
                  </w:rPr>
                </m:ctrlPr>
              </m:sub>
            </m:sSub>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丙烯酸生产企业二氧化碳排放总量，单位为吨二氧化碳(tCO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09C48095">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P — 统计报告期内丙烯酸合格产品（应符合GB/T 17529.1 标准要求）的实物产量，单位为吨（t）</w:t>
      </w:r>
    </w:p>
    <w:p w14:paraId="1ADB0631">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h）各种能源应按低位发热量折算为标准煤。各种能源的发热量以企业在报告期内的实测值为准，蒸汽、蒸汽凝结水按照实测的焓值、压力计算，电力采用当量值折算标准煤。没有实测条件的，可参考各种能源折标准煤参考系数进行折算。</w:t>
      </w:r>
    </w:p>
    <w:p w14:paraId="29DAE934">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i）统计和计算过程中各种燃料的单位热值含碳量、碳氧化率，相关物料的排放因子应优先采用企业报告期内的实测值，燃料含碳量的测定应遵循 GB/T 476、SH/T 0656、GB/T 13610、GB/T 8984等相关标准；没有实测条件的，可参考相关参数缺省值。</w:t>
      </w:r>
    </w:p>
    <w:p w14:paraId="2103A37E">
      <w:pPr>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j）电网年平均供电排放因子应选用国家主管部门最近年份公布的相应区域数据。热力排放因子优先采用供热单位的实测值，数据不可得时按0.11tCO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/GJ计算。</w:t>
      </w:r>
    </w:p>
    <w:p w14:paraId="0B29F90B">
      <w:pPr>
        <w:ind w:firstLine="602" w:firstLineChars="200"/>
        <w:outlineLvl w:val="2"/>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4、限额指标值的确定方法</w:t>
      </w:r>
    </w:p>
    <w:p w14:paraId="06EADFDC">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标准编制工作组依据《单位产品能源消耗限额编制通则》（GB/T 12723-2024）以及《石化化工行业单位产品碳排放限额编制导则（征求意见稿）》、《工业企业温室气体排放核算和报告通则》（GB/T 32150-2025）、《碳排放核算与报告要求 第10部分：化工生产企业》（GB/T 32151.10-2023）、《中国化工生产企业温室气体排放核算方法与报告指南（试行）》等相关核算方法，采用三种方法综合确定限额指标，三种方法分别是：</w:t>
      </w:r>
    </w:p>
    <w:p w14:paraId="6B2ED8EC">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一是根据企业调研与样本收集，结合相关核算方法及分级要求，直接分析计算得到；</w:t>
      </w:r>
    </w:p>
    <w:p w14:paraId="7C3561C5">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二是基于企业调研与样本收集，采用先进平均法得出；</w:t>
      </w:r>
    </w:p>
    <w:p w14:paraId="3B785B02">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三是专家咨询法。</w:t>
      </w:r>
    </w:p>
    <w:p w14:paraId="1828B7C2">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具体方法如下：</w:t>
      </w:r>
    </w:p>
    <w:p w14:paraId="16A3553E">
      <w:pPr>
        <w:pStyle w:val="2"/>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（1）方法一：直接按分级要求分析</w:t>
      </w:r>
    </w:p>
    <w:p w14:paraId="260727BE">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根据《单位产品能源消耗限额编制通则》（GB/T 12723-2024）6.3、6.4的要求和《国家发展改革委 市场监管总局关于进一步加强节能标准更新升级和应用实施的通知》（发改环资规〔2023〕269号）的相关规定，重点用能行业强制性能耗限额标准分为3级，其中1级能耗最低。</w:t>
      </w:r>
    </w:p>
    <w:p w14:paraId="5DEAD0C2">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a）单位产品能源消耗限额等级的1级，是促进现有生产企业（装置）采用先进技术、工艺和设备，使单位产品能耗达到国际先进水平的指标。原则上选取本行业前5%能效先进水平，或者选取行业“领跑者”的能效水平为取值原则，并具有一定的技术前瞻性。</w:t>
      </w:r>
    </w:p>
    <w:p w14:paraId="21AFD7EC">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b）单位产品能源消耗限额等级的2级，确定为单位产品能源消耗准入值，是评价新建及改扩建企业（装置）是否能够达到准入能耗要求的指标，应基于技术发展趋势和节能潜力分析制定，以代表本行业前20%左右国内能效先进水平为取值原则。</w:t>
      </w:r>
    </w:p>
    <w:p w14:paraId="0DE419F5">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c）单位产品能源消耗限额等级的3级，确定为单位产品能源消耗限定值，是评价现有（存量）生产企业（装置）单位产品能耗是否满足最低能耗要求的指标，应以淘汰一定比例的现有高能耗落后产能为取值原则。对高耗能、高排放、高污染以及产能过剩行业，在基于节能改造的经济可行性分析基础上淘汰比例不应低于20%。</w:t>
      </w:r>
    </w:p>
    <w:p w14:paraId="7FE507D7">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d）单位产品碳排放限额等级的1级，是促进现有生产企业（装置）采用先进技术、工艺和设备，达到国际先进水平的指标。以覆盖本行业统计范围内前5%的先进水平为取值原则。</w:t>
      </w:r>
    </w:p>
    <w:p w14:paraId="41972AB7">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e）单位产品碳排放等级的2级，应基于技术发展趋势和减排潜力分析制定。以覆盖本行业统计范围内前20%左右的先进水平为取值原则。</w:t>
      </w:r>
    </w:p>
    <w:p w14:paraId="570A6DF2">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f）单位产品碳排放等级的3级，以覆盖本行业统计范围内前80%左右企业的碳排放水平为取值原则。</w:t>
      </w:r>
    </w:p>
    <w:p w14:paraId="6B7D8F04">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（2）方法二：先进平均法（二次平均法）</w:t>
      </w:r>
    </w:p>
    <w:p w14:paraId="3646A4D6">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a)企业限额指标3级选取在调研企业平均值以上企业的限额指标值的平均值向上取值；</w:t>
      </w:r>
    </w:p>
    <w:p w14:paraId="4227E3CE">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b)企业限额指标2级为调研企业限额指标值的平均值向上取值；</w:t>
      </w:r>
    </w:p>
    <w:p w14:paraId="6E964223">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c)企业限额指标1级选取在调研企业平均值以下企业的限额指标值的平均值向下取值。</w:t>
      </w:r>
    </w:p>
    <w:p w14:paraId="64BA562B">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（3）方法三：专家咨询法</w:t>
      </w:r>
    </w:p>
    <w:p w14:paraId="1A0A5F0F">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编制组调研过程中，遵循体现行业先进性的原则，广泛征求并获取行业主要生产企业及研究机构专家意见，参考专家对产品限额指标的建议。</w:t>
      </w:r>
    </w:p>
    <w:p w14:paraId="483D4AB3">
      <w:pPr>
        <w:ind w:firstLine="602" w:firstLineChars="200"/>
        <w:outlineLvl w:val="2"/>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5.限额指标值等级的选取</w:t>
      </w:r>
    </w:p>
    <w:p w14:paraId="48973F3A">
      <w:pPr>
        <w:pStyle w:val="2"/>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（1）丙烯酸单位产品综合能耗</w:t>
      </w:r>
    </w:p>
    <w:p w14:paraId="69F1A754">
      <w:pPr>
        <w:pStyle w:val="2"/>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1）方法一：</w:t>
      </w:r>
    </w:p>
    <w:p w14:paraId="29E81641">
      <w:pPr>
        <w:pStyle w:val="2"/>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根据对广东省丙烯酸生产企业的调研，目前仅中海油惠州石化有限公司丙烯酸装置已投产运行，巴斯夫一体化基地（广东）有限公司刚进行试生产，其余均为在建项目。广东省外丙烯酸生产企业包括卫星化学、华谊集团、扬子巴斯夫、万华化学等，通过相关文献检索及企业数据报道等方式收集相关企业资料。根据已建成企业实际运行数据及在建项目相关设计资料，结合文献查阅及对丙烯酸装置用能影响因素分析，本标准对各企业数据进行分析计算结果见图3，并基于方法一对丙烯酸单位产品综合能耗限额指标值等级的选取结果见表1。</w:t>
      </w:r>
    </w:p>
    <w:p w14:paraId="48C99E0B">
      <w:pPr>
        <w:pStyle w:val="2"/>
        <w:ind w:left="0" w:leftChars="0" w:firstLine="0" w:firstLineChars="0"/>
        <w:jc w:val="center"/>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drawing>
          <wp:inline distT="0" distB="0" distL="114300" distR="114300">
            <wp:extent cx="4826000" cy="2743200"/>
            <wp:effectExtent l="4445" t="4445" r="8255" b="46355"/>
            <wp:docPr id="11" name="图表 10" descr="7b0a202020202263686172745265734964223a20223230343736373632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DDE8A19">
      <w:pPr>
        <w:pStyle w:val="2"/>
        <w:ind w:left="0" w:leftChars="0" w:firstLine="0" w:firstLineChars="0"/>
        <w:jc w:val="center"/>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图3 调研企业单位产品综合能耗数据统计（方法一）</w:t>
      </w:r>
    </w:p>
    <w:p w14:paraId="3841FC87">
      <w:pPr>
        <w:pStyle w:val="2"/>
        <w:ind w:left="0" w:leftChars="0" w:firstLine="0" w:firstLineChars="0"/>
        <w:jc w:val="center"/>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表1 丙烯酸单位产品综合能耗限额等级（方法一）</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9"/>
        <w:gridCol w:w="2840"/>
        <w:gridCol w:w="2843"/>
      </w:tblGrid>
      <w:tr w14:paraId="0FF5E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3"/>
            <w:tcBorders>
              <w:tl2br w:val="nil"/>
              <w:tr2bl w:val="nil"/>
            </w:tcBorders>
            <w:noWrap w:val="0"/>
            <w:vAlign w:val="center"/>
          </w:tcPr>
          <w:p w14:paraId="154B58D7">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丙烯酸单位产品综合能耗/（kgce/t）</w:t>
            </w:r>
          </w:p>
        </w:tc>
      </w:tr>
      <w:tr w14:paraId="41363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3"/>
            <w:tcBorders>
              <w:tl2br w:val="nil"/>
              <w:tr2bl w:val="nil"/>
            </w:tcBorders>
            <w:noWrap w:val="0"/>
            <w:vAlign w:val="center"/>
          </w:tcPr>
          <w:p w14:paraId="283BDDA9">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能耗限额等级</w:t>
            </w:r>
          </w:p>
        </w:tc>
      </w:tr>
      <w:tr w14:paraId="3708C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6" w:type="pct"/>
            <w:tcBorders>
              <w:tl2br w:val="nil"/>
              <w:tr2bl w:val="nil"/>
            </w:tcBorders>
            <w:noWrap w:val="0"/>
            <w:vAlign w:val="center"/>
          </w:tcPr>
          <w:p w14:paraId="1DED6C30">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1级</w:t>
            </w:r>
          </w:p>
        </w:tc>
        <w:tc>
          <w:tcPr>
            <w:tcW w:w="1666" w:type="pct"/>
            <w:tcBorders>
              <w:tl2br w:val="nil"/>
              <w:tr2bl w:val="nil"/>
            </w:tcBorders>
            <w:noWrap w:val="0"/>
            <w:vAlign w:val="center"/>
          </w:tcPr>
          <w:p w14:paraId="2139441F">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2级</w:t>
            </w:r>
          </w:p>
        </w:tc>
        <w:tc>
          <w:tcPr>
            <w:tcW w:w="1666" w:type="pct"/>
            <w:tcBorders>
              <w:tl2br w:val="nil"/>
              <w:tr2bl w:val="nil"/>
            </w:tcBorders>
            <w:noWrap w:val="0"/>
            <w:vAlign w:val="center"/>
          </w:tcPr>
          <w:p w14:paraId="51245B23">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3级</w:t>
            </w:r>
          </w:p>
        </w:tc>
      </w:tr>
      <w:tr w14:paraId="16CC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6" w:type="pct"/>
            <w:tcBorders>
              <w:tl2br w:val="nil"/>
              <w:tr2bl w:val="nil"/>
            </w:tcBorders>
            <w:noWrap w:val="0"/>
            <w:vAlign w:val="center"/>
          </w:tcPr>
          <w:p w14:paraId="71583BD1">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-220</w:t>
            </w:r>
          </w:p>
        </w:tc>
        <w:tc>
          <w:tcPr>
            <w:tcW w:w="1666" w:type="pct"/>
            <w:tcBorders>
              <w:tl2br w:val="nil"/>
              <w:tr2bl w:val="nil"/>
            </w:tcBorders>
            <w:noWrap w:val="0"/>
            <w:vAlign w:val="center"/>
          </w:tcPr>
          <w:p w14:paraId="4ABB3910">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-84</w:t>
            </w:r>
          </w:p>
        </w:tc>
        <w:tc>
          <w:tcPr>
            <w:tcW w:w="1666" w:type="pct"/>
            <w:tcBorders>
              <w:tl2br w:val="nil"/>
              <w:tr2bl w:val="nil"/>
            </w:tcBorders>
            <w:noWrap w:val="0"/>
            <w:vAlign w:val="center"/>
          </w:tcPr>
          <w:p w14:paraId="3AA25204">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142</w:t>
            </w:r>
          </w:p>
        </w:tc>
      </w:tr>
    </w:tbl>
    <w:p w14:paraId="4A7D080B">
      <w:pPr>
        <w:pStyle w:val="2"/>
        <w:rPr>
          <w:rFonts w:hint="eastAsia" w:ascii="仿宋" w:hAnsi="仿宋" w:eastAsia="仿宋" w:cs="仿宋"/>
          <w:color w:val="auto"/>
          <w:kern w:val="2"/>
          <w:sz w:val="30"/>
          <w:szCs w:val="30"/>
          <w:highlight w:val="none"/>
          <w:lang w:val="en-US" w:eastAsia="zh-CN" w:bidi="ar-SA"/>
        </w:rPr>
      </w:pPr>
    </w:p>
    <w:p w14:paraId="50D57BA8">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2）方法二</w:t>
      </w:r>
    </w:p>
    <w:p w14:paraId="12619637">
      <w:pPr>
        <w:pStyle w:val="2"/>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以</w:t>
      </w:r>
      <w:r>
        <w:rPr>
          <w:rFonts w:hint="default" w:ascii="仿宋" w:hAnsi="仿宋" w:eastAsia="仿宋" w:cs="仿宋"/>
          <w:color w:val="auto"/>
          <w:kern w:val="2"/>
          <w:sz w:val="30"/>
          <w:szCs w:val="30"/>
          <w:highlight w:val="none"/>
          <w:lang w:val="en-US" w:eastAsia="zh-CN" w:bidi="ar-SA"/>
        </w:rPr>
        <w:t>调研企业单位产品综合能耗数据</w:t>
      </w:r>
      <w:r>
        <w:rPr>
          <w:rFonts w:hint="eastAsia" w:ascii="仿宋" w:hAnsi="仿宋" w:eastAsia="仿宋" w:cs="仿宋"/>
          <w:color w:val="auto"/>
          <w:kern w:val="2"/>
          <w:sz w:val="30"/>
          <w:szCs w:val="30"/>
          <w:highlight w:val="none"/>
          <w:lang w:val="en-US" w:eastAsia="zh-CN" w:bidi="ar-SA"/>
        </w:rPr>
        <w:t>为样本，采用先进平均法（二次平均法）分析结果见图4，并基于方法二对丙烯酸单位产品综合能耗限额指标值等级的选取结果见表2。</w:t>
      </w:r>
    </w:p>
    <w:p w14:paraId="05101234">
      <w:pPr>
        <w:pStyle w:val="2"/>
        <w:ind w:left="0" w:leftChars="0" w:firstLine="0" w:firstLineChars="0"/>
        <w:jc w:val="center"/>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drawing>
          <wp:inline distT="0" distB="0" distL="114300" distR="114300">
            <wp:extent cx="4826000" cy="2743200"/>
            <wp:effectExtent l="4445" t="4445" r="8255" b="8255"/>
            <wp:docPr id="21"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F3F8C40">
      <w:pPr>
        <w:pStyle w:val="2"/>
        <w:ind w:left="0" w:leftChars="0" w:firstLine="0" w:firstLineChars="0"/>
        <w:jc w:val="center"/>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图4 调研企业单位产品综合能耗数据统计（方法二）</w:t>
      </w:r>
    </w:p>
    <w:p w14:paraId="4FF42C60">
      <w:pPr>
        <w:pStyle w:val="2"/>
        <w:ind w:left="0" w:leftChars="0" w:firstLine="0" w:firstLineChars="0"/>
        <w:jc w:val="center"/>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表2 丙烯酸单位产品综合能耗限额等级（方法二）</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9"/>
        <w:gridCol w:w="2840"/>
        <w:gridCol w:w="2843"/>
      </w:tblGrid>
      <w:tr w14:paraId="7386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3"/>
            <w:tcBorders>
              <w:tl2br w:val="nil"/>
              <w:tr2bl w:val="nil"/>
            </w:tcBorders>
            <w:noWrap w:val="0"/>
            <w:vAlign w:val="center"/>
          </w:tcPr>
          <w:p w14:paraId="0236F666">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丙烯酸单位产品综合能耗/（kgce/t）</w:t>
            </w:r>
          </w:p>
        </w:tc>
      </w:tr>
      <w:tr w14:paraId="1310F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3"/>
            <w:tcBorders>
              <w:tl2br w:val="nil"/>
              <w:tr2bl w:val="nil"/>
            </w:tcBorders>
            <w:noWrap w:val="0"/>
            <w:vAlign w:val="center"/>
          </w:tcPr>
          <w:p w14:paraId="4E3CC121">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能耗限额等级</w:t>
            </w:r>
          </w:p>
        </w:tc>
      </w:tr>
      <w:tr w14:paraId="76EE3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6" w:type="pct"/>
            <w:tcBorders>
              <w:tl2br w:val="nil"/>
              <w:tr2bl w:val="nil"/>
            </w:tcBorders>
            <w:noWrap w:val="0"/>
            <w:vAlign w:val="center"/>
          </w:tcPr>
          <w:p w14:paraId="4AC4D46B">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1级</w:t>
            </w:r>
          </w:p>
        </w:tc>
        <w:tc>
          <w:tcPr>
            <w:tcW w:w="1666" w:type="pct"/>
            <w:tcBorders>
              <w:tl2br w:val="nil"/>
              <w:tr2bl w:val="nil"/>
            </w:tcBorders>
            <w:noWrap w:val="0"/>
            <w:vAlign w:val="center"/>
          </w:tcPr>
          <w:p w14:paraId="689666FE">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2级</w:t>
            </w:r>
          </w:p>
        </w:tc>
        <w:tc>
          <w:tcPr>
            <w:tcW w:w="1666" w:type="pct"/>
            <w:tcBorders>
              <w:tl2br w:val="nil"/>
              <w:tr2bl w:val="nil"/>
            </w:tcBorders>
            <w:noWrap w:val="0"/>
            <w:vAlign w:val="center"/>
          </w:tcPr>
          <w:p w14:paraId="3FF67F29">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3级</w:t>
            </w:r>
          </w:p>
        </w:tc>
      </w:tr>
      <w:tr w14:paraId="6AC42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6" w:type="pct"/>
            <w:tcBorders>
              <w:tl2br w:val="nil"/>
              <w:tr2bl w:val="nil"/>
            </w:tcBorders>
            <w:noWrap w:val="0"/>
            <w:vAlign w:val="center"/>
          </w:tcPr>
          <w:p w14:paraId="799074B8">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-160</w:t>
            </w:r>
          </w:p>
        </w:tc>
        <w:tc>
          <w:tcPr>
            <w:tcW w:w="1666" w:type="pct"/>
            <w:tcBorders>
              <w:tl2br w:val="nil"/>
              <w:tr2bl w:val="nil"/>
            </w:tcBorders>
            <w:noWrap w:val="0"/>
            <w:vAlign w:val="center"/>
          </w:tcPr>
          <w:p w14:paraId="0ACA668F">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-20</w:t>
            </w:r>
          </w:p>
        </w:tc>
        <w:tc>
          <w:tcPr>
            <w:tcW w:w="1666" w:type="pct"/>
            <w:tcBorders>
              <w:tl2br w:val="nil"/>
              <w:tr2bl w:val="nil"/>
            </w:tcBorders>
            <w:noWrap w:val="0"/>
            <w:vAlign w:val="center"/>
          </w:tcPr>
          <w:p w14:paraId="4BD2EB0D">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118</w:t>
            </w:r>
          </w:p>
        </w:tc>
      </w:tr>
    </w:tbl>
    <w:p w14:paraId="4670D281">
      <w:pPr>
        <w:pStyle w:val="2"/>
        <w:rPr>
          <w:rFonts w:hint="eastAsia" w:ascii="仿宋" w:hAnsi="仿宋" w:eastAsia="仿宋" w:cs="仿宋"/>
          <w:color w:val="auto"/>
          <w:kern w:val="2"/>
          <w:sz w:val="30"/>
          <w:szCs w:val="30"/>
          <w:highlight w:val="none"/>
          <w:lang w:val="en-US" w:eastAsia="zh-CN" w:bidi="ar-SA"/>
        </w:rPr>
      </w:pPr>
    </w:p>
    <w:p w14:paraId="69D6CA6C">
      <w:pPr>
        <w:pStyle w:val="2"/>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3）方法三</w:t>
      </w:r>
    </w:p>
    <w:p w14:paraId="31060DA3">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标准编制组在调研过程中，以体现行业先进性的原则，广泛征求并获取了行业主要生产企业及研究机构专家意见。结合行业产业结构调整情况，结合能源限额标准调研数据与行业专家建议，遵循行业实情同时体现指标先进性、鼓励企业积极实施低碳减排技术为原则。</w:t>
      </w:r>
    </w:p>
    <w:p w14:paraId="0A7A14A1">
      <w:pPr>
        <w:pStyle w:val="2"/>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综合方法一、方法二及方法三，缩小各等级差距及等级指标值的合理性，确定了丙烯酸单位产品综合能耗限额等级，见表3。</w:t>
      </w:r>
    </w:p>
    <w:p w14:paraId="3F192BC5">
      <w:pPr>
        <w:pStyle w:val="2"/>
        <w:ind w:left="0" w:leftChars="0" w:firstLine="0" w:firstLineChars="0"/>
        <w:jc w:val="center"/>
        <w:rPr>
          <w:rFonts w:hint="eastAsia" w:ascii="仿宋" w:hAnsi="仿宋" w:eastAsia="仿宋" w:cs="仿宋"/>
          <w:color w:val="auto"/>
          <w:sz w:val="30"/>
          <w:szCs w:val="30"/>
          <w:highlight w:val="none"/>
          <w:lang w:val="en-US" w:eastAsia="zh-CN"/>
        </w:rPr>
      </w:pPr>
    </w:p>
    <w:p w14:paraId="2B1C3C70">
      <w:pPr>
        <w:pStyle w:val="2"/>
        <w:ind w:left="0" w:leftChars="0" w:firstLine="0" w:firstLineChars="0"/>
        <w:jc w:val="center"/>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表3 丙烯酸单位产品综合能耗限额等级</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9"/>
        <w:gridCol w:w="2840"/>
        <w:gridCol w:w="2843"/>
      </w:tblGrid>
      <w:tr w14:paraId="21DA1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3"/>
            <w:tcBorders>
              <w:tl2br w:val="nil"/>
              <w:tr2bl w:val="nil"/>
            </w:tcBorders>
            <w:noWrap w:val="0"/>
            <w:vAlign w:val="center"/>
          </w:tcPr>
          <w:p w14:paraId="45CDFEA7">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丙烯酸单位产品综合能耗/（kgce/t）</w:t>
            </w:r>
          </w:p>
        </w:tc>
      </w:tr>
      <w:tr w14:paraId="32D25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3"/>
            <w:tcBorders>
              <w:tl2br w:val="nil"/>
              <w:tr2bl w:val="nil"/>
            </w:tcBorders>
            <w:noWrap w:val="0"/>
            <w:vAlign w:val="center"/>
          </w:tcPr>
          <w:p w14:paraId="05B4C129">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能耗限额等级</w:t>
            </w:r>
          </w:p>
        </w:tc>
      </w:tr>
      <w:tr w14:paraId="250EA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6" w:type="pct"/>
            <w:tcBorders>
              <w:tl2br w:val="nil"/>
              <w:tr2bl w:val="nil"/>
            </w:tcBorders>
            <w:noWrap w:val="0"/>
            <w:vAlign w:val="center"/>
          </w:tcPr>
          <w:p w14:paraId="343DE33A">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1级</w:t>
            </w:r>
          </w:p>
        </w:tc>
        <w:tc>
          <w:tcPr>
            <w:tcW w:w="1666" w:type="pct"/>
            <w:tcBorders>
              <w:tl2br w:val="nil"/>
              <w:tr2bl w:val="nil"/>
            </w:tcBorders>
            <w:noWrap w:val="0"/>
            <w:vAlign w:val="center"/>
          </w:tcPr>
          <w:p w14:paraId="1EC1D042">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2级</w:t>
            </w:r>
          </w:p>
        </w:tc>
        <w:tc>
          <w:tcPr>
            <w:tcW w:w="1666" w:type="pct"/>
            <w:tcBorders>
              <w:tl2br w:val="nil"/>
              <w:tr2bl w:val="nil"/>
            </w:tcBorders>
            <w:noWrap w:val="0"/>
            <w:vAlign w:val="center"/>
          </w:tcPr>
          <w:p w14:paraId="273F853F">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3级</w:t>
            </w:r>
          </w:p>
        </w:tc>
      </w:tr>
      <w:tr w14:paraId="29DBD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6" w:type="pct"/>
            <w:tcBorders>
              <w:tl2br w:val="nil"/>
              <w:tr2bl w:val="nil"/>
            </w:tcBorders>
            <w:noWrap w:val="0"/>
            <w:vAlign w:val="center"/>
          </w:tcPr>
          <w:p w14:paraId="7A4C32D0">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-190</w:t>
            </w:r>
          </w:p>
        </w:tc>
        <w:tc>
          <w:tcPr>
            <w:tcW w:w="1666" w:type="pct"/>
            <w:tcBorders>
              <w:tl2br w:val="nil"/>
              <w:tr2bl w:val="nil"/>
            </w:tcBorders>
            <w:noWrap w:val="0"/>
            <w:vAlign w:val="center"/>
          </w:tcPr>
          <w:p w14:paraId="724D570A">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-50</w:t>
            </w:r>
          </w:p>
        </w:tc>
        <w:tc>
          <w:tcPr>
            <w:tcW w:w="1666" w:type="pct"/>
            <w:tcBorders>
              <w:tl2br w:val="nil"/>
              <w:tr2bl w:val="nil"/>
            </w:tcBorders>
            <w:noWrap w:val="0"/>
            <w:vAlign w:val="center"/>
          </w:tcPr>
          <w:p w14:paraId="74DE0B76">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130</w:t>
            </w:r>
          </w:p>
        </w:tc>
      </w:tr>
    </w:tbl>
    <w:p w14:paraId="49F77C3B">
      <w:pPr>
        <w:pStyle w:val="2"/>
        <w:rPr>
          <w:rFonts w:hint="eastAsia" w:ascii="仿宋" w:hAnsi="仿宋" w:eastAsia="仿宋" w:cs="仿宋"/>
          <w:color w:val="auto"/>
          <w:kern w:val="2"/>
          <w:sz w:val="30"/>
          <w:szCs w:val="30"/>
          <w:highlight w:val="none"/>
          <w:lang w:val="en-US" w:eastAsia="zh-CN" w:bidi="ar-SA"/>
        </w:rPr>
      </w:pPr>
    </w:p>
    <w:p w14:paraId="653BB477">
      <w:pPr>
        <w:bidi w:val="0"/>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（2）丙烯酸单位产品二氧化碳排放量</w:t>
      </w:r>
    </w:p>
    <w:p w14:paraId="185FEB41">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同理，丙烯酸单位产品二氧化碳排放量指标值的等级选取如下：</w:t>
      </w:r>
    </w:p>
    <w:p w14:paraId="4D4A885F">
      <w:pPr>
        <w:pStyle w:val="2"/>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1）方法一</w:t>
      </w:r>
    </w:p>
    <w:p w14:paraId="369687AB">
      <w:pPr>
        <w:pStyle w:val="2"/>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本标准对各企业数据进行分析计算结果见图5，并基于方法一对丙烯酸单位产品二氧化碳排放量限额指标值等级的选取结果见表4。</w:t>
      </w:r>
    </w:p>
    <w:p w14:paraId="74C44D34">
      <w:pPr>
        <w:pStyle w:val="2"/>
        <w:ind w:left="0" w:leftChars="0" w:firstLine="0" w:firstLineChars="0"/>
        <w:jc w:val="center"/>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drawing>
          <wp:inline distT="0" distB="0" distL="114300" distR="114300">
            <wp:extent cx="4826000" cy="2743200"/>
            <wp:effectExtent l="4445" t="4445" r="8255" b="46355"/>
            <wp:docPr id="18" name="图表 17" descr="7b0a202020202263686172745265734964223a20223230343736373632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B24003E">
      <w:pPr>
        <w:pStyle w:val="2"/>
        <w:ind w:left="0" w:leftChars="0" w:firstLine="0" w:firstLineChars="0"/>
        <w:jc w:val="center"/>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图5 调研企业单位产品二氧化碳排放量数据统计（方法一）</w:t>
      </w:r>
    </w:p>
    <w:p w14:paraId="7E016504">
      <w:pPr>
        <w:pStyle w:val="2"/>
        <w:ind w:left="0" w:leftChars="0" w:firstLine="0" w:firstLineChars="0"/>
        <w:jc w:val="center"/>
        <w:rPr>
          <w:rFonts w:hint="eastAsia" w:ascii="仿宋" w:hAnsi="仿宋" w:eastAsia="仿宋" w:cs="仿宋"/>
          <w:color w:val="auto"/>
          <w:sz w:val="30"/>
          <w:szCs w:val="30"/>
          <w:highlight w:val="none"/>
          <w:lang w:val="en-US" w:eastAsia="zh-CN"/>
        </w:rPr>
      </w:pPr>
    </w:p>
    <w:p w14:paraId="115D4A76">
      <w:pPr>
        <w:pStyle w:val="2"/>
        <w:ind w:left="0" w:leftChars="0" w:firstLine="0" w:firstLineChars="0"/>
        <w:jc w:val="center"/>
        <w:rPr>
          <w:rFonts w:hint="eastAsia" w:ascii="仿宋" w:hAnsi="仿宋" w:eastAsia="仿宋" w:cs="仿宋"/>
          <w:color w:val="auto"/>
          <w:sz w:val="30"/>
          <w:szCs w:val="30"/>
          <w:highlight w:val="none"/>
          <w:lang w:val="en-US" w:eastAsia="zh-CN"/>
        </w:rPr>
      </w:pPr>
    </w:p>
    <w:p w14:paraId="30053885">
      <w:pPr>
        <w:pStyle w:val="2"/>
        <w:ind w:left="0" w:leftChars="0" w:firstLine="0" w:firstLineChars="0"/>
        <w:jc w:val="center"/>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表4 丙烯酸单位产品二氧化碳排放量限额等级（方法一）</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9"/>
        <w:gridCol w:w="2840"/>
        <w:gridCol w:w="2843"/>
      </w:tblGrid>
      <w:tr w14:paraId="17886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3"/>
            <w:tcBorders>
              <w:tl2br w:val="nil"/>
              <w:tr2bl w:val="nil"/>
            </w:tcBorders>
            <w:noWrap w:val="0"/>
            <w:vAlign w:val="center"/>
          </w:tcPr>
          <w:p w14:paraId="71180736">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丙烯酸单位产品二氧化碳排放量/（kgCO</w:t>
            </w:r>
            <w:r>
              <w:rPr>
                <w:rFonts w:hint="eastAsia" w:ascii="仿宋" w:hAnsi="仿宋" w:eastAsia="仿宋" w:cs="仿宋"/>
                <w:b/>
                <w:bCs/>
                <w:color w:val="auto"/>
                <w:sz w:val="24"/>
                <w:szCs w:val="24"/>
                <w:highlight w:val="none"/>
                <w:vertAlign w:val="subscript"/>
                <w:lang w:val="en-US" w:eastAsia="zh-CN"/>
              </w:rPr>
              <w:t>2</w:t>
            </w:r>
            <w:r>
              <w:rPr>
                <w:rFonts w:hint="eastAsia" w:ascii="仿宋" w:hAnsi="仿宋" w:eastAsia="仿宋" w:cs="仿宋"/>
                <w:b/>
                <w:bCs/>
                <w:color w:val="auto"/>
                <w:sz w:val="24"/>
                <w:szCs w:val="24"/>
                <w:highlight w:val="none"/>
                <w:lang w:val="en-US" w:eastAsia="zh-CN"/>
              </w:rPr>
              <w:t>/t）</w:t>
            </w:r>
          </w:p>
        </w:tc>
      </w:tr>
      <w:tr w14:paraId="42CE8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3"/>
            <w:tcBorders>
              <w:tl2br w:val="nil"/>
              <w:tr2bl w:val="nil"/>
            </w:tcBorders>
            <w:noWrap w:val="0"/>
            <w:vAlign w:val="center"/>
          </w:tcPr>
          <w:p w14:paraId="52532C27">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二氧化碳排放量限额等级</w:t>
            </w:r>
          </w:p>
        </w:tc>
      </w:tr>
      <w:tr w14:paraId="7571D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6" w:type="pct"/>
            <w:tcBorders>
              <w:tl2br w:val="nil"/>
              <w:tr2bl w:val="nil"/>
            </w:tcBorders>
            <w:noWrap w:val="0"/>
            <w:vAlign w:val="center"/>
          </w:tcPr>
          <w:p w14:paraId="5CCCE0F5">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1级</w:t>
            </w:r>
          </w:p>
        </w:tc>
        <w:tc>
          <w:tcPr>
            <w:tcW w:w="1666" w:type="pct"/>
            <w:tcBorders>
              <w:tl2br w:val="nil"/>
              <w:tr2bl w:val="nil"/>
            </w:tcBorders>
            <w:noWrap w:val="0"/>
            <w:vAlign w:val="center"/>
          </w:tcPr>
          <w:p w14:paraId="6EBD44A4">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2级</w:t>
            </w:r>
          </w:p>
        </w:tc>
        <w:tc>
          <w:tcPr>
            <w:tcW w:w="1666" w:type="pct"/>
            <w:tcBorders>
              <w:tl2br w:val="nil"/>
              <w:tr2bl w:val="nil"/>
            </w:tcBorders>
            <w:noWrap w:val="0"/>
            <w:vAlign w:val="center"/>
          </w:tcPr>
          <w:p w14:paraId="3EB85EEC">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3级</w:t>
            </w:r>
          </w:p>
        </w:tc>
      </w:tr>
      <w:tr w14:paraId="23AB8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88" w:type="dxa"/>
            <w:tcBorders>
              <w:tl2br w:val="nil"/>
              <w:tr2bl w:val="nil"/>
            </w:tcBorders>
            <w:noWrap w:val="0"/>
            <w:vAlign w:val="center"/>
          </w:tcPr>
          <w:p w14:paraId="33A9BE41">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-695</w:t>
            </w:r>
          </w:p>
        </w:tc>
        <w:tc>
          <w:tcPr>
            <w:tcW w:w="3189" w:type="dxa"/>
            <w:tcBorders>
              <w:tl2br w:val="nil"/>
              <w:tr2bl w:val="nil"/>
            </w:tcBorders>
            <w:noWrap w:val="0"/>
            <w:vAlign w:val="center"/>
          </w:tcPr>
          <w:p w14:paraId="33CDD082">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-319</w:t>
            </w:r>
          </w:p>
        </w:tc>
        <w:tc>
          <w:tcPr>
            <w:tcW w:w="3193" w:type="dxa"/>
            <w:tcBorders>
              <w:tl2br w:val="nil"/>
              <w:tr2bl w:val="nil"/>
            </w:tcBorders>
            <w:noWrap w:val="0"/>
            <w:vAlign w:val="center"/>
          </w:tcPr>
          <w:p w14:paraId="0615BD15">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438</w:t>
            </w:r>
          </w:p>
        </w:tc>
      </w:tr>
    </w:tbl>
    <w:p w14:paraId="0538A27E">
      <w:pPr>
        <w:ind w:firstLine="600" w:firstLineChars="200"/>
        <w:rPr>
          <w:rFonts w:hint="eastAsia" w:ascii="仿宋" w:hAnsi="仿宋" w:eastAsia="仿宋" w:cs="仿宋"/>
          <w:color w:val="auto"/>
          <w:kern w:val="2"/>
          <w:sz w:val="30"/>
          <w:szCs w:val="30"/>
          <w:highlight w:val="none"/>
          <w:lang w:val="en-US" w:eastAsia="zh-CN" w:bidi="ar-SA"/>
        </w:rPr>
      </w:pPr>
    </w:p>
    <w:p w14:paraId="44043A3A">
      <w:pPr>
        <w:ind w:firstLine="600" w:firstLineChars="200"/>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2）方法二</w:t>
      </w:r>
    </w:p>
    <w:p w14:paraId="4EEF66C0">
      <w:pPr>
        <w:ind w:firstLine="600" w:firstLineChars="200"/>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以调研企业单位产品二氧化碳排放量数据为样本，采用先进平均法（二次平均法）分析结果见图6，并基于方法二对丙烯酸单位产品二氧化碳排放量限额指标值等级的选取结果见表5。</w:t>
      </w:r>
    </w:p>
    <w:p w14:paraId="0241DC69">
      <w:pPr>
        <w:jc w:val="center"/>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drawing>
          <wp:inline distT="0" distB="0" distL="114300" distR="114300">
            <wp:extent cx="4826000" cy="2743200"/>
            <wp:effectExtent l="4445" t="4445" r="8255" b="8255"/>
            <wp:docPr id="22"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9470ED8">
      <w:pPr>
        <w:jc w:val="center"/>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图6 调研企业单位产品二氧化碳排放量数据统计（方法二）</w:t>
      </w:r>
    </w:p>
    <w:p w14:paraId="74680BE7">
      <w:pPr>
        <w:pStyle w:val="2"/>
        <w:ind w:left="0" w:leftChars="0" w:firstLine="0" w:firstLineChars="0"/>
        <w:jc w:val="center"/>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表5 丙烯酸单位产品二氧化碳排放量限额等级（方法二）</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9"/>
        <w:gridCol w:w="2840"/>
        <w:gridCol w:w="2843"/>
      </w:tblGrid>
      <w:tr w14:paraId="3FA2D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3"/>
            <w:tcBorders>
              <w:tl2br w:val="nil"/>
              <w:tr2bl w:val="nil"/>
            </w:tcBorders>
            <w:noWrap w:val="0"/>
            <w:vAlign w:val="center"/>
          </w:tcPr>
          <w:p w14:paraId="01ECE978">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丙烯酸单位产品二氧化碳排放量/（kgCO</w:t>
            </w:r>
            <w:r>
              <w:rPr>
                <w:rFonts w:hint="eastAsia" w:ascii="仿宋" w:hAnsi="仿宋" w:eastAsia="仿宋" w:cs="仿宋"/>
                <w:b/>
                <w:bCs/>
                <w:color w:val="auto"/>
                <w:sz w:val="24"/>
                <w:szCs w:val="24"/>
                <w:highlight w:val="none"/>
                <w:vertAlign w:val="subscript"/>
                <w:lang w:val="en-US" w:eastAsia="zh-CN"/>
              </w:rPr>
              <w:t>2</w:t>
            </w:r>
            <w:r>
              <w:rPr>
                <w:rFonts w:hint="eastAsia" w:ascii="仿宋" w:hAnsi="仿宋" w:eastAsia="仿宋" w:cs="仿宋"/>
                <w:b/>
                <w:bCs/>
                <w:color w:val="auto"/>
                <w:sz w:val="24"/>
                <w:szCs w:val="24"/>
                <w:highlight w:val="none"/>
                <w:lang w:val="en-US" w:eastAsia="zh-CN"/>
              </w:rPr>
              <w:t>/t）</w:t>
            </w:r>
          </w:p>
        </w:tc>
      </w:tr>
      <w:tr w14:paraId="537E0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3"/>
            <w:tcBorders>
              <w:tl2br w:val="nil"/>
              <w:tr2bl w:val="nil"/>
            </w:tcBorders>
            <w:noWrap w:val="0"/>
            <w:vAlign w:val="center"/>
          </w:tcPr>
          <w:p w14:paraId="3FCD55D7">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二氧化碳排放量限额等级</w:t>
            </w:r>
          </w:p>
        </w:tc>
      </w:tr>
      <w:tr w14:paraId="0540B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6" w:type="pct"/>
            <w:tcBorders>
              <w:tl2br w:val="nil"/>
              <w:tr2bl w:val="nil"/>
            </w:tcBorders>
            <w:noWrap w:val="0"/>
            <w:vAlign w:val="center"/>
          </w:tcPr>
          <w:p w14:paraId="7DDD8D24">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1级</w:t>
            </w:r>
          </w:p>
        </w:tc>
        <w:tc>
          <w:tcPr>
            <w:tcW w:w="1666" w:type="pct"/>
            <w:tcBorders>
              <w:tl2br w:val="nil"/>
              <w:tr2bl w:val="nil"/>
            </w:tcBorders>
            <w:noWrap w:val="0"/>
            <w:vAlign w:val="center"/>
          </w:tcPr>
          <w:p w14:paraId="75DB4BF5">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2级</w:t>
            </w:r>
          </w:p>
        </w:tc>
        <w:tc>
          <w:tcPr>
            <w:tcW w:w="1666" w:type="pct"/>
            <w:tcBorders>
              <w:tl2br w:val="nil"/>
              <w:tr2bl w:val="nil"/>
            </w:tcBorders>
            <w:noWrap w:val="0"/>
            <w:vAlign w:val="center"/>
          </w:tcPr>
          <w:p w14:paraId="05A132E7">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3级</w:t>
            </w:r>
          </w:p>
        </w:tc>
      </w:tr>
      <w:tr w14:paraId="4DBE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88" w:type="dxa"/>
            <w:tcBorders>
              <w:tl2br w:val="nil"/>
              <w:tr2bl w:val="nil"/>
            </w:tcBorders>
            <w:noWrap w:val="0"/>
            <w:vAlign w:val="center"/>
          </w:tcPr>
          <w:p w14:paraId="4AA13449">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-550</w:t>
            </w:r>
          </w:p>
        </w:tc>
        <w:tc>
          <w:tcPr>
            <w:tcW w:w="3189" w:type="dxa"/>
            <w:tcBorders>
              <w:tl2br w:val="nil"/>
              <w:tr2bl w:val="nil"/>
            </w:tcBorders>
            <w:noWrap w:val="0"/>
            <w:vAlign w:val="center"/>
          </w:tcPr>
          <w:p w14:paraId="6E5DC87D">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-153</w:t>
            </w:r>
          </w:p>
        </w:tc>
        <w:tc>
          <w:tcPr>
            <w:tcW w:w="3193" w:type="dxa"/>
            <w:tcBorders>
              <w:tl2br w:val="nil"/>
              <w:tr2bl w:val="nil"/>
            </w:tcBorders>
            <w:noWrap w:val="0"/>
            <w:vAlign w:val="center"/>
          </w:tcPr>
          <w:p w14:paraId="08028CE6">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244</w:t>
            </w:r>
          </w:p>
        </w:tc>
      </w:tr>
    </w:tbl>
    <w:p w14:paraId="1A7E531D">
      <w:pPr>
        <w:ind w:firstLine="600" w:firstLineChars="200"/>
        <w:rPr>
          <w:rFonts w:hint="eastAsia" w:ascii="仿宋" w:hAnsi="仿宋" w:eastAsia="仿宋" w:cs="仿宋"/>
          <w:color w:val="auto"/>
          <w:kern w:val="2"/>
          <w:sz w:val="30"/>
          <w:szCs w:val="30"/>
          <w:highlight w:val="none"/>
          <w:lang w:val="en-US" w:eastAsia="zh-CN" w:bidi="ar-SA"/>
        </w:rPr>
      </w:pPr>
    </w:p>
    <w:p w14:paraId="56AE8124">
      <w:pPr>
        <w:ind w:firstLine="600" w:firstLineChars="200"/>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3）方法三</w:t>
      </w:r>
    </w:p>
    <w:p w14:paraId="5D602219">
      <w:pPr>
        <w:ind w:firstLine="600" w:firstLineChars="200"/>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标准编制组在调研过程中，遵循体现行业先进性的原则，广泛征求并获取了行业主要生产企业及研究机构专家意见。结合行业产业结构调整情况，结合能源限额标准调研数据与行业专家建议，遵循行业实情同时体现指标先进性、鼓励企业积极实施低碳减排技术为原则。</w:t>
      </w:r>
    </w:p>
    <w:p w14:paraId="65FFC398">
      <w:pPr>
        <w:ind w:firstLine="600" w:firstLineChars="200"/>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综合方法一、方法二及方法三，缩小各等级差距及等级指标值的合理性，确定了丙烯酸单位产品二氧化碳排放量限额等级，见表6。</w:t>
      </w:r>
    </w:p>
    <w:p w14:paraId="1069F94A">
      <w:pPr>
        <w:pStyle w:val="2"/>
        <w:ind w:left="0" w:leftChars="0" w:firstLine="0" w:firstLineChars="0"/>
        <w:jc w:val="center"/>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表6 丙烯酸单位产品二氧化碳排放量限额等级</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9"/>
        <w:gridCol w:w="2840"/>
        <w:gridCol w:w="2843"/>
      </w:tblGrid>
      <w:tr w14:paraId="2A965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3"/>
            <w:tcBorders>
              <w:tl2br w:val="nil"/>
              <w:tr2bl w:val="nil"/>
            </w:tcBorders>
            <w:noWrap w:val="0"/>
            <w:vAlign w:val="center"/>
          </w:tcPr>
          <w:p w14:paraId="1ED4D450">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丙烯酸单位产品二氧化碳排放量/（kgCO</w:t>
            </w:r>
            <w:r>
              <w:rPr>
                <w:rFonts w:hint="eastAsia" w:ascii="仿宋" w:hAnsi="仿宋" w:eastAsia="仿宋" w:cs="仿宋"/>
                <w:b/>
                <w:bCs/>
                <w:color w:val="auto"/>
                <w:sz w:val="24"/>
                <w:szCs w:val="24"/>
                <w:highlight w:val="none"/>
                <w:vertAlign w:val="subscript"/>
                <w:lang w:val="en-US" w:eastAsia="zh-CN"/>
              </w:rPr>
              <w:t>2</w:t>
            </w:r>
            <w:r>
              <w:rPr>
                <w:rFonts w:hint="eastAsia" w:ascii="仿宋" w:hAnsi="仿宋" w:eastAsia="仿宋" w:cs="仿宋"/>
                <w:b/>
                <w:bCs/>
                <w:color w:val="auto"/>
                <w:sz w:val="24"/>
                <w:szCs w:val="24"/>
                <w:highlight w:val="none"/>
                <w:lang w:val="en-US" w:eastAsia="zh-CN"/>
              </w:rPr>
              <w:t>/t）</w:t>
            </w:r>
          </w:p>
        </w:tc>
      </w:tr>
      <w:tr w14:paraId="2AE30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3"/>
            <w:tcBorders>
              <w:tl2br w:val="nil"/>
              <w:tr2bl w:val="nil"/>
            </w:tcBorders>
            <w:noWrap w:val="0"/>
            <w:vAlign w:val="center"/>
          </w:tcPr>
          <w:p w14:paraId="29251910">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二氧化碳排放量限额等级</w:t>
            </w:r>
          </w:p>
        </w:tc>
      </w:tr>
      <w:tr w14:paraId="3CA5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6" w:type="pct"/>
            <w:tcBorders>
              <w:tl2br w:val="nil"/>
              <w:tr2bl w:val="nil"/>
            </w:tcBorders>
            <w:noWrap w:val="0"/>
            <w:vAlign w:val="center"/>
          </w:tcPr>
          <w:p w14:paraId="141DEBB4">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1级</w:t>
            </w:r>
          </w:p>
        </w:tc>
        <w:tc>
          <w:tcPr>
            <w:tcW w:w="1666" w:type="pct"/>
            <w:tcBorders>
              <w:tl2br w:val="nil"/>
              <w:tr2bl w:val="nil"/>
            </w:tcBorders>
            <w:noWrap w:val="0"/>
            <w:vAlign w:val="center"/>
          </w:tcPr>
          <w:p w14:paraId="1FD567C2">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2级</w:t>
            </w:r>
          </w:p>
        </w:tc>
        <w:tc>
          <w:tcPr>
            <w:tcW w:w="1666" w:type="pct"/>
            <w:tcBorders>
              <w:tl2br w:val="nil"/>
              <w:tr2bl w:val="nil"/>
            </w:tcBorders>
            <w:noWrap w:val="0"/>
            <w:vAlign w:val="center"/>
          </w:tcPr>
          <w:p w14:paraId="3A3E4D62">
            <w:pPr>
              <w:keepNext w:val="0"/>
              <w:keepLines w:val="0"/>
              <w:pageBreakBefore w:val="0"/>
              <w:widowControl w:val="0"/>
              <w:kinsoku/>
              <w:wordWrap/>
              <w:overflowPunct/>
              <w:topLinePunct w:val="0"/>
              <w:bidi w:val="0"/>
              <w:adjustRightInd/>
              <w:snapToGrid/>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3级</w:t>
            </w:r>
          </w:p>
        </w:tc>
      </w:tr>
      <w:tr w14:paraId="3DE3B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188" w:type="dxa"/>
            <w:tcBorders>
              <w:tl2br w:val="nil"/>
              <w:tr2bl w:val="nil"/>
            </w:tcBorders>
            <w:noWrap w:val="0"/>
            <w:vAlign w:val="center"/>
          </w:tcPr>
          <w:p w14:paraId="150DF8CC">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-620</w:t>
            </w:r>
          </w:p>
        </w:tc>
        <w:tc>
          <w:tcPr>
            <w:tcW w:w="3189" w:type="dxa"/>
            <w:tcBorders>
              <w:tl2br w:val="nil"/>
              <w:tr2bl w:val="nil"/>
            </w:tcBorders>
            <w:noWrap w:val="0"/>
            <w:vAlign w:val="center"/>
          </w:tcPr>
          <w:p w14:paraId="020A1913">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-235</w:t>
            </w:r>
          </w:p>
        </w:tc>
        <w:tc>
          <w:tcPr>
            <w:tcW w:w="3193" w:type="dxa"/>
            <w:tcBorders>
              <w:tl2br w:val="nil"/>
              <w:tr2bl w:val="nil"/>
            </w:tcBorders>
            <w:noWrap w:val="0"/>
            <w:vAlign w:val="center"/>
          </w:tcPr>
          <w:p w14:paraId="08A908D8">
            <w:pPr>
              <w:keepNext w:val="0"/>
              <w:keepLines w:val="0"/>
              <w:pageBreakBefore w:val="0"/>
              <w:widowControl w:val="0"/>
              <w:kinsoku/>
              <w:wordWrap/>
              <w:overflowPunct/>
              <w:topLinePunct w:val="0"/>
              <w:bidi w:val="0"/>
              <w:adjustRightInd/>
              <w:snapToGrid/>
              <w:ind w:firstLine="0" w:firstLineChars="0"/>
              <w:jc w:val="center"/>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340</w:t>
            </w:r>
          </w:p>
        </w:tc>
      </w:tr>
    </w:tbl>
    <w:p w14:paraId="65669828">
      <w:pPr>
        <w:ind w:firstLine="600" w:firstLineChars="200"/>
        <w:rPr>
          <w:rFonts w:hint="eastAsia" w:ascii="仿宋" w:hAnsi="仿宋" w:eastAsia="仿宋" w:cs="仿宋"/>
          <w:color w:val="auto"/>
          <w:kern w:val="2"/>
          <w:sz w:val="30"/>
          <w:szCs w:val="30"/>
          <w:highlight w:val="none"/>
          <w:lang w:val="en-US" w:eastAsia="zh-CN" w:bidi="ar-SA"/>
        </w:rPr>
      </w:pPr>
    </w:p>
    <w:p w14:paraId="1B6C967A">
      <w:pPr>
        <w:ind w:firstLine="600" w:firstLineChars="200"/>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综上说明，现有丙烯酸装置单位产品综合能耗限定值应符合表3中3级要求。新建及改扩建丙烯酸装置单位产品综合能耗准入值应符合表3中2级要求。</w:t>
      </w:r>
    </w:p>
    <w:p w14:paraId="31287600">
      <w:pPr>
        <w:ind w:firstLine="600" w:firstLineChars="200"/>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现有丙烯酸装置单位产品二氧化碳排放量限定值应符合表6中3级要求。新建及改扩建丙烯酸装置单位产品二氧化碳排放量准入值应符合表6中2级要求。</w:t>
      </w:r>
    </w:p>
    <w:p w14:paraId="3A534F7A">
      <w:pPr>
        <w:ind w:firstLine="602" w:firstLineChars="200"/>
        <w:outlineLvl w:val="2"/>
        <w:rPr>
          <w:rFonts w:hint="default"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6.附录</w:t>
      </w:r>
    </w:p>
    <w:p w14:paraId="1E89CAD6">
      <w:pPr>
        <w:ind w:firstLine="600" w:firstLineChars="200"/>
        <w:rPr>
          <w:rFonts w:hint="default"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为更好地理解丙烯酸装置工艺流程、用能单元及统计范围，本标准给出丙烯酸装置能耗统计界区示意图、丙烯酸二氧化碳排放核算边界示意图，见附录A。</w:t>
      </w:r>
    </w:p>
    <w:p w14:paraId="144EA311">
      <w:pPr>
        <w:ind w:firstLine="600" w:firstLineChars="200"/>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附录B给出了丙烯酸装置能源折算值，供丙烯酸装置综合能源消费量和单位产品综合能耗计算参考使用。</w:t>
      </w:r>
    </w:p>
    <w:p w14:paraId="29799A9B">
      <w:pPr>
        <w:ind w:firstLine="600" w:firstLineChars="200"/>
        <w:rPr>
          <w:rFonts w:hint="default"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附录C给出了丙烯酸装置常见化石燃料特性参数缺省值及其他排放因子缺省值，供丙烯酸装置碳排放总量和单位产品碳排放计算参考使用。</w:t>
      </w:r>
    </w:p>
    <w:p w14:paraId="72C8395D">
      <w:pPr>
        <w:spacing w:line="360" w:lineRule="auto"/>
        <w:ind w:firstLine="643" w:firstLineChars="200"/>
        <w:jc w:val="both"/>
        <w:outlineLvl w:val="0"/>
        <w:rPr>
          <w:rFonts w:hint="eastAsia" w:ascii="Times New Roman" w:hAnsi="Times New Roman" w:eastAsia="黑体" w:cs="Times New Roman"/>
          <w:b/>
          <w:color w:val="auto"/>
          <w:kern w:val="0"/>
          <w:sz w:val="32"/>
          <w:szCs w:val="32"/>
          <w:lang w:val="en-US" w:eastAsia="zh-CN" w:bidi="ar-SA"/>
        </w:rPr>
      </w:pPr>
      <w:bookmarkStart w:id="0" w:name="_Toc98928376"/>
      <w:r>
        <w:rPr>
          <w:rFonts w:hint="eastAsia" w:ascii="Times New Roman" w:hAnsi="Times New Roman" w:eastAsia="黑体" w:cs="Times New Roman"/>
          <w:b/>
          <w:color w:val="auto"/>
          <w:kern w:val="0"/>
          <w:sz w:val="32"/>
          <w:szCs w:val="32"/>
          <w:lang w:val="en-US" w:eastAsia="zh-CN" w:bidi="ar-SA"/>
        </w:rPr>
        <w:t>六、与现行法律法规和强制性标准的关系</w:t>
      </w:r>
      <w:bookmarkEnd w:id="0"/>
    </w:p>
    <w:p w14:paraId="71308583">
      <w:pPr>
        <w:ind w:firstLine="600" w:firstLineChars="200"/>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至标准编制之日尚未发现与计划编制标准相冲突的现行法律法规和强制性国家标准。</w:t>
      </w:r>
    </w:p>
    <w:p w14:paraId="3DFE3811">
      <w:pPr>
        <w:spacing w:line="360" w:lineRule="auto"/>
        <w:ind w:firstLine="643" w:firstLineChars="200"/>
        <w:jc w:val="both"/>
        <w:outlineLvl w:val="0"/>
        <w:rPr>
          <w:rFonts w:hint="eastAsia" w:ascii="Times New Roman" w:hAnsi="Times New Roman" w:eastAsia="黑体" w:cs="Times New Roman"/>
          <w:b/>
          <w:color w:val="auto"/>
          <w:kern w:val="0"/>
          <w:sz w:val="32"/>
          <w:szCs w:val="32"/>
          <w:lang w:val="en-US" w:eastAsia="zh-CN" w:bidi="ar-SA"/>
        </w:rPr>
      </w:pPr>
      <w:bookmarkStart w:id="1" w:name="_Toc98928378"/>
      <w:r>
        <w:rPr>
          <w:rFonts w:hint="eastAsia" w:ascii="Times New Roman" w:hAnsi="Times New Roman" w:eastAsia="黑体" w:cs="Times New Roman"/>
          <w:b/>
          <w:color w:val="auto"/>
          <w:kern w:val="0"/>
          <w:sz w:val="32"/>
          <w:szCs w:val="32"/>
          <w:lang w:val="en-US" w:eastAsia="zh-CN" w:bidi="ar-SA"/>
        </w:rPr>
        <w:t>七、贯彻标准的措施建议</w:t>
      </w:r>
      <w:bookmarkEnd w:id="1"/>
    </w:p>
    <w:p w14:paraId="149EE8DD">
      <w:pPr>
        <w:ind w:firstLine="600" w:firstLineChars="200"/>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为了贯彻好本标准，使其有效发挥作用，建议在标准发布后，在广东省丙烯酸生产企业进行宣传与贯彻，并组织有关部门进行学习和培训。</w:t>
      </w:r>
      <w:bookmarkStart w:id="2" w:name="_Toc98928379"/>
    </w:p>
    <w:p w14:paraId="79CD83F5">
      <w:pPr>
        <w:spacing w:line="360" w:lineRule="auto"/>
        <w:ind w:firstLine="643" w:firstLineChars="200"/>
        <w:jc w:val="both"/>
        <w:outlineLvl w:val="0"/>
        <w:rPr>
          <w:rFonts w:hint="eastAsia" w:ascii="Times New Roman" w:hAnsi="Times New Roman" w:eastAsia="黑体" w:cs="Times New Roman"/>
          <w:b/>
          <w:color w:val="auto"/>
          <w:kern w:val="0"/>
          <w:sz w:val="32"/>
          <w:szCs w:val="32"/>
          <w:lang w:val="en-US" w:eastAsia="zh-CN" w:bidi="ar-SA"/>
        </w:rPr>
      </w:pPr>
      <w:r>
        <w:rPr>
          <w:rFonts w:hint="eastAsia" w:ascii="Times New Roman" w:hAnsi="Times New Roman" w:eastAsia="黑体" w:cs="Times New Roman"/>
          <w:b/>
          <w:color w:val="auto"/>
          <w:kern w:val="0"/>
          <w:sz w:val="32"/>
          <w:szCs w:val="32"/>
          <w:lang w:val="en-US" w:eastAsia="zh-CN" w:bidi="ar-SA"/>
        </w:rPr>
        <w:t>八、废止现行有关标准的建议</w:t>
      </w:r>
      <w:bookmarkEnd w:id="2"/>
      <w:r>
        <w:rPr>
          <w:rFonts w:hint="eastAsia" w:ascii="Times New Roman" w:hAnsi="Times New Roman" w:eastAsia="黑体" w:cs="Times New Roman"/>
          <w:b/>
          <w:color w:val="auto"/>
          <w:kern w:val="0"/>
          <w:sz w:val="32"/>
          <w:szCs w:val="32"/>
          <w:lang w:val="en-US" w:eastAsia="zh-CN" w:bidi="ar-SA"/>
        </w:rPr>
        <w:t xml:space="preserve"> </w:t>
      </w:r>
    </w:p>
    <w:p w14:paraId="45B90B9E">
      <w:pPr>
        <w:ind w:firstLine="600" w:firstLineChars="200"/>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无。</w:t>
      </w:r>
    </w:p>
    <w:p w14:paraId="3F713531">
      <w:pPr>
        <w:spacing w:line="360" w:lineRule="auto"/>
        <w:ind w:firstLine="643" w:firstLineChars="200"/>
        <w:jc w:val="both"/>
        <w:outlineLvl w:val="0"/>
        <w:rPr>
          <w:rFonts w:hint="eastAsia" w:ascii="Times New Roman" w:hAnsi="Times New Roman" w:eastAsia="黑体" w:cs="Times New Roman"/>
          <w:b/>
          <w:color w:val="auto"/>
          <w:kern w:val="0"/>
          <w:sz w:val="32"/>
          <w:szCs w:val="32"/>
          <w:lang w:val="en-US" w:eastAsia="zh-CN" w:bidi="ar-SA"/>
        </w:rPr>
      </w:pPr>
      <w:bookmarkStart w:id="3" w:name="_Toc98928380"/>
      <w:r>
        <w:rPr>
          <w:rFonts w:hint="eastAsia" w:ascii="Times New Roman" w:hAnsi="Times New Roman" w:eastAsia="黑体" w:cs="Times New Roman"/>
          <w:b/>
          <w:color w:val="auto"/>
          <w:kern w:val="0"/>
          <w:sz w:val="32"/>
          <w:szCs w:val="32"/>
          <w:lang w:val="en-US" w:eastAsia="zh-CN" w:bidi="ar-SA"/>
        </w:rPr>
        <w:t>九、其他应予以说明的事项</w:t>
      </w:r>
      <w:bookmarkEnd w:id="3"/>
      <w:r>
        <w:rPr>
          <w:rFonts w:hint="eastAsia" w:ascii="Times New Roman" w:hAnsi="Times New Roman" w:eastAsia="黑体" w:cs="Times New Roman"/>
          <w:b/>
          <w:color w:val="auto"/>
          <w:kern w:val="0"/>
          <w:sz w:val="32"/>
          <w:szCs w:val="32"/>
          <w:lang w:val="en-US" w:eastAsia="zh-CN" w:bidi="ar-SA"/>
        </w:rPr>
        <w:t xml:space="preserve"> </w:t>
      </w:r>
    </w:p>
    <w:p w14:paraId="7BA8A0BE">
      <w:pPr>
        <w:ind w:firstLine="600" w:firstLineChars="200"/>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无。</w:t>
      </w: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76D20">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7F91F3">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B7F91F3">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4CA8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506359">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506359">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C8233C"/>
    <w:multiLevelType w:val="singleLevel"/>
    <w:tmpl w:val="84C8233C"/>
    <w:lvl w:ilvl="0" w:tentative="0">
      <w:start w:val="1"/>
      <w:numFmt w:val="decimal"/>
      <w:suff w:val="space"/>
      <w:lvlText w:val="(%1)"/>
      <w:lvlJc w:val="left"/>
      <w:pPr>
        <w:ind w:left="0" w:leftChars="0" w:firstLine="0" w:firstLineChars="0"/>
      </w:pPr>
      <w:rPr>
        <w:rFonts w:hint="default"/>
      </w:rPr>
    </w:lvl>
  </w:abstractNum>
  <w:abstractNum w:abstractNumId="1">
    <w:nsid w:val="1FC91163"/>
    <w:multiLevelType w:val="multilevel"/>
    <w:tmpl w:val="1FC91163"/>
    <w:lvl w:ilvl="0" w:tentative="0">
      <w:start w:val="1"/>
      <w:numFmt w:val="decimal"/>
      <w:pStyle w:val="19"/>
      <w:suff w:val="nothing"/>
      <w:lvlText w:val="%1　"/>
      <w:lvlJc w:val="left"/>
      <w:rPr>
        <w:rFonts w:hint="eastAsia" w:ascii="黑体" w:hAnsi="Times New Roman" w:eastAsia="黑体" w:cs="Times New Roman"/>
        <w:b w:val="0"/>
        <w:i w:val="0"/>
        <w:sz w:val="21"/>
        <w:szCs w:val="21"/>
      </w:rPr>
    </w:lvl>
    <w:lvl w:ilvl="1" w:tentative="0">
      <w:start w:val="1"/>
      <w:numFmt w:val="decimal"/>
      <w:pStyle w:val="16"/>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5060"/>
        </w:tabs>
        <w:ind w:left="4678" w:hanging="1418"/>
      </w:pPr>
      <w:rPr>
        <w:rFonts w:hint="eastAsia" w:cs="Times New Roman"/>
      </w:rPr>
    </w:lvl>
    <w:lvl w:ilvl="8" w:tentative="0">
      <w:start w:val="1"/>
      <w:numFmt w:val="decimal"/>
      <w:lvlText w:val="%1.%2.%3.%4.%5.%6.%7.%8.%9"/>
      <w:lvlJc w:val="left"/>
      <w:pPr>
        <w:tabs>
          <w:tab w:val="left" w:pos="5486"/>
        </w:tabs>
        <w:ind w:left="5386" w:hanging="1700"/>
      </w:pPr>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3MGU4OTBlOTdhZTg2ZDhjMmFlMjExNmY5OTA5MWMifQ=="/>
  </w:docVars>
  <w:rsids>
    <w:rsidRoot w:val="2B5F18F1"/>
    <w:rsid w:val="00283BEC"/>
    <w:rsid w:val="00611D3B"/>
    <w:rsid w:val="008D6FFB"/>
    <w:rsid w:val="00DC19CB"/>
    <w:rsid w:val="01057174"/>
    <w:rsid w:val="0123584C"/>
    <w:rsid w:val="01267613"/>
    <w:rsid w:val="01710365"/>
    <w:rsid w:val="017D58B3"/>
    <w:rsid w:val="01DA23AF"/>
    <w:rsid w:val="0204567E"/>
    <w:rsid w:val="02346124"/>
    <w:rsid w:val="0236335D"/>
    <w:rsid w:val="02385327"/>
    <w:rsid w:val="02445A7A"/>
    <w:rsid w:val="02450BE7"/>
    <w:rsid w:val="028871D8"/>
    <w:rsid w:val="029167E5"/>
    <w:rsid w:val="02A00385"/>
    <w:rsid w:val="02A80A82"/>
    <w:rsid w:val="031C2519"/>
    <w:rsid w:val="031E276F"/>
    <w:rsid w:val="03313DB6"/>
    <w:rsid w:val="033828EF"/>
    <w:rsid w:val="034B2E38"/>
    <w:rsid w:val="035C7E76"/>
    <w:rsid w:val="035E0DBD"/>
    <w:rsid w:val="0364380A"/>
    <w:rsid w:val="036C17D6"/>
    <w:rsid w:val="03726617"/>
    <w:rsid w:val="03806F86"/>
    <w:rsid w:val="0390690C"/>
    <w:rsid w:val="03B56796"/>
    <w:rsid w:val="03D74C3A"/>
    <w:rsid w:val="03D96696"/>
    <w:rsid w:val="03E2554B"/>
    <w:rsid w:val="03FF3F68"/>
    <w:rsid w:val="04141034"/>
    <w:rsid w:val="041B0A5C"/>
    <w:rsid w:val="042B209A"/>
    <w:rsid w:val="04476357"/>
    <w:rsid w:val="04642403"/>
    <w:rsid w:val="048878E2"/>
    <w:rsid w:val="048C54B6"/>
    <w:rsid w:val="049E2C49"/>
    <w:rsid w:val="04AD2864"/>
    <w:rsid w:val="04AE367F"/>
    <w:rsid w:val="05060A28"/>
    <w:rsid w:val="05335315"/>
    <w:rsid w:val="05461B09"/>
    <w:rsid w:val="054C5671"/>
    <w:rsid w:val="05645D5E"/>
    <w:rsid w:val="056A7B0A"/>
    <w:rsid w:val="05B20FB6"/>
    <w:rsid w:val="05B65713"/>
    <w:rsid w:val="05CA44E8"/>
    <w:rsid w:val="05E9395A"/>
    <w:rsid w:val="05EE467B"/>
    <w:rsid w:val="06055520"/>
    <w:rsid w:val="061F37F4"/>
    <w:rsid w:val="062B17DE"/>
    <w:rsid w:val="069F7723"/>
    <w:rsid w:val="06A74829"/>
    <w:rsid w:val="06FF6413"/>
    <w:rsid w:val="072B0FB7"/>
    <w:rsid w:val="07A62C95"/>
    <w:rsid w:val="07CD6512"/>
    <w:rsid w:val="07F40388"/>
    <w:rsid w:val="08007EE6"/>
    <w:rsid w:val="0822060B"/>
    <w:rsid w:val="086320A3"/>
    <w:rsid w:val="086532A8"/>
    <w:rsid w:val="086724C2"/>
    <w:rsid w:val="08A0301D"/>
    <w:rsid w:val="08A0490D"/>
    <w:rsid w:val="09002112"/>
    <w:rsid w:val="090146C5"/>
    <w:rsid w:val="090B7225"/>
    <w:rsid w:val="091D1CD3"/>
    <w:rsid w:val="09495447"/>
    <w:rsid w:val="09622496"/>
    <w:rsid w:val="096864F2"/>
    <w:rsid w:val="09C15C02"/>
    <w:rsid w:val="09DF5DD3"/>
    <w:rsid w:val="0A706F01"/>
    <w:rsid w:val="0A865A1E"/>
    <w:rsid w:val="0A9B514A"/>
    <w:rsid w:val="0AAA2B3A"/>
    <w:rsid w:val="0AF90CB9"/>
    <w:rsid w:val="0B1F0E32"/>
    <w:rsid w:val="0B293A5F"/>
    <w:rsid w:val="0BD72466"/>
    <w:rsid w:val="0BF84AE2"/>
    <w:rsid w:val="0C01642A"/>
    <w:rsid w:val="0C0D15D3"/>
    <w:rsid w:val="0C137F64"/>
    <w:rsid w:val="0C161FF4"/>
    <w:rsid w:val="0C28640C"/>
    <w:rsid w:val="0C3F54F2"/>
    <w:rsid w:val="0C760F26"/>
    <w:rsid w:val="0D1C7D1F"/>
    <w:rsid w:val="0D58511B"/>
    <w:rsid w:val="0D9657C1"/>
    <w:rsid w:val="0DC037BD"/>
    <w:rsid w:val="0DC91B42"/>
    <w:rsid w:val="0E7B2F7A"/>
    <w:rsid w:val="0ECB733C"/>
    <w:rsid w:val="0EE54474"/>
    <w:rsid w:val="0F29227F"/>
    <w:rsid w:val="0F384F12"/>
    <w:rsid w:val="0F9A28BF"/>
    <w:rsid w:val="0FA83B24"/>
    <w:rsid w:val="0FD26A7E"/>
    <w:rsid w:val="0FED1688"/>
    <w:rsid w:val="100D3BA5"/>
    <w:rsid w:val="10591ED3"/>
    <w:rsid w:val="106F460A"/>
    <w:rsid w:val="109A05F6"/>
    <w:rsid w:val="10A5627E"/>
    <w:rsid w:val="10DD1A4C"/>
    <w:rsid w:val="11BA3663"/>
    <w:rsid w:val="11D81D3B"/>
    <w:rsid w:val="11F50B3F"/>
    <w:rsid w:val="12364728"/>
    <w:rsid w:val="124F757F"/>
    <w:rsid w:val="12784550"/>
    <w:rsid w:val="127B0E0E"/>
    <w:rsid w:val="128123D2"/>
    <w:rsid w:val="129F0D84"/>
    <w:rsid w:val="12CD4126"/>
    <w:rsid w:val="13070B2A"/>
    <w:rsid w:val="134358DA"/>
    <w:rsid w:val="13A00D4C"/>
    <w:rsid w:val="13B7188E"/>
    <w:rsid w:val="13D1738A"/>
    <w:rsid w:val="13F05A62"/>
    <w:rsid w:val="14056C11"/>
    <w:rsid w:val="14346C48"/>
    <w:rsid w:val="149D101A"/>
    <w:rsid w:val="14CF2DFF"/>
    <w:rsid w:val="14EF3F6B"/>
    <w:rsid w:val="15210A86"/>
    <w:rsid w:val="152534E9"/>
    <w:rsid w:val="152754B3"/>
    <w:rsid w:val="1543790F"/>
    <w:rsid w:val="15897F1C"/>
    <w:rsid w:val="15B01446"/>
    <w:rsid w:val="15C410DC"/>
    <w:rsid w:val="15E778B1"/>
    <w:rsid w:val="15F93CFE"/>
    <w:rsid w:val="16012FF0"/>
    <w:rsid w:val="163653BC"/>
    <w:rsid w:val="166242C9"/>
    <w:rsid w:val="167D1103"/>
    <w:rsid w:val="16C46DCC"/>
    <w:rsid w:val="16C7783C"/>
    <w:rsid w:val="16CA71E5"/>
    <w:rsid w:val="16D276A1"/>
    <w:rsid w:val="16D847EC"/>
    <w:rsid w:val="173B3498"/>
    <w:rsid w:val="175C6B1B"/>
    <w:rsid w:val="17E07B9B"/>
    <w:rsid w:val="1817657D"/>
    <w:rsid w:val="182E0907"/>
    <w:rsid w:val="18C9082D"/>
    <w:rsid w:val="18E473A1"/>
    <w:rsid w:val="19043765"/>
    <w:rsid w:val="1910625E"/>
    <w:rsid w:val="19137AFC"/>
    <w:rsid w:val="192B7F48"/>
    <w:rsid w:val="19726F19"/>
    <w:rsid w:val="199926F8"/>
    <w:rsid w:val="19B07BE2"/>
    <w:rsid w:val="19E82D37"/>
    <w:rsid w:val="19EC48E7"/>
    <w:rsid w:val="19F409F6"/>
    <w:rsid w:val="1A0A0EFF"/>
    <w:rsid w:val="1A2E218D"/>
    <w:rsid w:val="1A3D23C9"/>
    <w:rsid w:val="1A6C1BBA"/>
    <w:rsid w:val="1A71322F"/>
    <w:rsid w:val="1A864A2A"/>
    <w:rsid w:val="1AA36D9E"/>
    <w:rsid w:val="1B4641B9"/>
    <w:rsid w:val="1B5E1503"/>
    <w:rsid w:val="1B624CBD"/>
    <w:rsid w:val="1B7927E1"/>
    <w:rsid w:val="1C6E5776"/>
    <w:rsid w:val="1C7C5572"/>
    <w:rsid w:val="1C8C0A79"/>
    <w:rsid w:val="1C9378D2"/>
    <w:rsid w:val="1CB258B3"/>
    <w:rsid w:val="1CBA0A17"/>
    <w:rsid w:val="1CC94BF2"/>
    <w:rsid w:val="1D3E783E"/>
    <w:rsid w:val="1D65219D"/>
    <w:rsid w:val="1D6D400B"/>
    <w:rsid w:val="1D76747F"/>
    <w:rsid w:val="1E7F5DC2"/>
    <w:rsid w:val="1E9179DF"/>
    <w:rsid w:val="1EAC5247"/>
    <w:rsid w:val="1EB53B30"/>
    <w:rsid w:val="1ED90CFA"/>
    <w:rsid w:val="1EDA286F"/>
    <w:rsid w:val="1FFD2FD5"/>
    <w:rsid w:val="201D1963"/>
    <w:rsid w:val="205630F0"/>
    <w:rsid w:val="20686980"/>
    <w:rsid w:val="208539D6"/>
    <w:rsid w:val="20967991"/>
    <w:rsid w:val="20FF5536"/>
    <w:rsid w:val="21093CBF"/>
    <w:rsid w:val="21666426"/>
    <w:rsid w:val="218A73F3"/>
    <w:rsid w:val="21A734D8"/>
    <w:rsid w:val="21B76AE0"/>
    <w:rsid w:val="21C61BB0"/>
    <w:rsid w:val="21D544E9"/>
    <w:rsid w:val="21D87632"/>
    <w:rsid w:val="2200667A"/>
    <w:rsid w:val="22805529"/>
    <w:rsid w:val="22E9024C"/>
    <w:rsid w:val="22EA5D72"/>
    <w:rsid w:val="22F10EAE"/>
    <w:rsid w:val="233A56FA"/>
    <w:rsid w:val="23711FEF"/>
    <w:rsid w:val="23A6593D"/>
    <w:rsid w:val="23B44202"/>
    <w:rsid w:val="23CD438C"/>
    <w:rsid w:val="23EF4B7E"/>
    <w:rsid w:val="24170DE9"/>
    <w:rsid w:val="24390D5F"/>
    <w:rsid w:val="24A22A73"/>
    <w:rsid w:val="24D31BA1"/>
    <w:rsid w:val="2503311B"/>
    <w:rsid w:val="2534382C"/>
    <w:rsid w:val="2538184A"/>
    <w:rsid w:val="254B6F9C"/>
    <w:rsid w:val="25F807A6"/>
    <w:rsid w:val="262C2034"/>
    <w:rsid w:val="262E5801"/>
    <w:rsid w:val="2641191F"/>
    <w:rsid w:val="265579A6"/>
    <w:rsid w:val="26946721"/>
    <w:rsid w:val="26C03EA3"/>
    <w:rsid w:val="27475541"/>
    <w:rsid w:val="27595274"/>
    <w:rsid w:val="279B588D"/>
    <w:rsid w:val="27A577A3"/>
    <w:rsid w:val="27F9085B"/>
    <w:rsid w:val="28051C89"/>
    <w:rsid w:val="280B47C0"/>
    <w:rsid w:val="282D2989"/>
    <w:rsid w:val="28940C5A"/>
    <w:rsid w:val="28F416F8"/>
    <w:rsid w:val="291678C1"/>
    <w:rsid w:val="292C0E92"/>
    <w:rsid w:val="29341AF5"/>
    <w:rsid w:val="29A62C82"/>
    <w:rsid w:val="29B66B85"/>
    <w:rsid w:val="29BD2DBC"/>
    <w:rsid w:val="29D67050"/>
    <w:rsid w:val="29FB0865"/>
    <w:rsid w:val="2A1F34D4"/>
    <w:rsid w:val="2A5561C7"/>
    <w:rsid w:val="2ACB33A6"/>
    <w:rsid w:val="2AED28A3"/>
    <w:rsid w:val="2B4F321F"/>
    <w:rsid w:val="2B5F18F1"/>
    <w:rsid w:val="2BB313F7"/>
    <w:rsid w:val="2BF0303D"/>
    <w:rsid w:val="2C7211DD"/>
    <w:rsid w:val="2C940338"/>
    <w:rsid w:val="2CAF6281"/>
    <w:rsid w:val="2D0A387C"/>
    <w:rsid w:val="2D564730"/>
    <w:rsid w:val="2D766C76"/>
    <w:rsid w:val="2DB72CF5"/>
    <w:rsid w:val="2E026666"/>
    <w:rsid w:val="2E3D144C"/>
    <w:rsid w:val="2EC55694"/>
    <w:rsid w:val="2ECF3BF0"/>
    <w:rsid w:val="2F2C13A9"/>
    <w:rsid w:val="2F3960B7"/>
    <w:rsid w:val="2F427C86"/>
    <w:rsid w:val="2F5E167A"/>
    <w:rsid w:val="2FDC569F"/>
    <w:rsid w:val="2FFD0E93"/>
    <w:rsid w:val="304E7940"/>
    <w:rsid w:val="305667F5"/>
    <w:rsid w:val="30760C45"/>
    <w:rsid w:val="308242CF"/>
    <w:rsid w:val="30D272BE"/>
    <w:rsid w:val="31160623"/>
    <w:rsid w:val="312B5ED3"/>
    <w:rsid w:val="31573FE0"/>
    <w:rsid w:val="3187194F"/>
    <w:rsid w:val="31F745EA"/>
    <w:rsid w:val="325748A5"/>
    <w:rsid w:val="32AE2985"/>
    <w:rsid w:val="32EA40D1"/>
    <w:rsid w:val="335607FA"/>
    <w:rsid w:val="33D06DBD"/>
    <w:rsid w:val="33E22C61"/>
    <w:rsid w:val="342F3231"/>
    <w:rsid w:val="34C74D5B"/>
    <w:rsid w:val="34D57EF5"/>
    <w:rsid w:val="352960C1"/>
    <w:rsid w:val="354C1378"/>
    <w:rsid w:val="35F96C7C"/>
    <w:rsid w:val="35FE0987"/>
    <w:rsid w:val="36101AA6"/>
    <w:rsid w:val="36331109"/>
    <w:rsid w:val="365C335F"/>
    <w:rsid w:val="368816D2"/>
    <w:rsid w:val="36C20D6D"/>
    <w:rsid w:val="36C66189"/>
    <w:rsid w:val="36D84DB7"/>
    <w:rsid w:val="372C30A1"/>
    <w:rsid w:val="372D083E"/>
    <w:rsid w:val="373E23B9"/>
    <w:rsid w:val="37567612"/>
    <w:rsid w:val="37611E07"/>
    <w:rsid w:val="37826ABB"/>
    <w:rsid w:val="378A6A48"/>
    <w:rsid w:val="37B53E87"/>
    <w:rsid w:val="37D363A5"/>
    <w:rsid w:val="380B6117"/>
    <w:rsid w:val="382721DF"/>
    <w:rsid w:val="38CA4224"/>
    <w:rsid w:val="393873DF"/>
    <w:rsid w:val="397330FD"/>
    <w:rsid w:val="3A125E82"/>
    <w:rsid w:val="3A2432CF"/>
    <w:rsid w:val="3A617C21"/>
    <w:rsid w:val="3A6B681A"/>
    <w:rsid w:val="3A970438"/>
    <w:rsid w:val="3AAD1707"/>
    <w:rsid w:val="3B000B22"/>
    <w:rsid w:val="3BBF0890"/>
    <w:rsid w:val="3BC211E2"/>
    <w:rsid w:val="3BD36A25"/>
    <w:rsid w:val="3BFE7C37"/>
    <w:rsid w:val="3C15041F"/>
    <w:rsid w:val="3C4612AF"/>
    <w:rsid w:val="3C5F0D24"/>
    <w:rsid w:val="3C7E335B"/>
    <w:rsid w:val="3C89198F"/>
    <w:rsid w:val="3C8A3C61"/>
    <w:rsid w:val="3CB46D7D"/>
    <w:rsid w:val="3CFC0724"/>
    <w:rsid w:val="3D362BD2"/>
    <w:rsid w:val="3DB0061B"/>
    <w:rsid w:val="3DB34302"/>
    <w:rsid w:val="3DC54FBA"/>
    <w:rsid w:val="3E0C5E53"/>
    <w:rsid w:val="3E7551CA"/>
    <w:rsid w:val="3EBB7392"/>
    <w:rsid w:val="3F2F2758"/>
    <w:rsid w:val="3F7040AC"/>
    <w:rsid w:val="3FA554C1"/>
    <w:rsid w:val="3FEE7D66"/>
    <w:rsid w:val="406E07E8"/>
    <w:rsid w:val="40A35A86"/>
    <w:rsid w:val="40F64D19"/>
    <w:rsid w:val="41304EAA"/>
    <w:rsid w:val="41317E02"/>
    <w:rsid w:val="41741B70"/>
    <w:rsid w:val="41DF489C"/>
    <w:rsid w:val="41E2438C"/>
    <w:rsid w:val="41F31C35"/>
    <w:rsid w:val="42312C1E"/>
    <w:rsid w:val="42741986"/>
    <w:rsid w:val="431C4CCF"/>
    <w:rsid w:val="43752EA3"/>
    <w:rsid w:val="43994622"/>
    <w:rsid w:val="43C755E8"/>
    <w:rsid w:val="43CE2E1A"/>
    <w:rsid w:val="440A3726"/>
    <w:rsid w:val="444A653E"/>
    <w:rsid w:val="448259B3"/>
    <w:rsid w:val="44D43D68"/>
    <w:rsid w:val="45350C77"/>
    <w:rsid w:val="45D361E6"/>
    <w:rsid w:val="45F57EF3"/>
    <w:rsid w:val="463B050F"/>
    <w:rsid w:val="46E91D19"/>
    <w:rsid w:val="4706548E"/>
    <w:rsid w:val="472A22BC"/>
    <w:rsid w:val="472F1D40"/>
    <w:rsid w:val="477932D0"/>
    <w:rsid w:val="47B85E42"/>
    <w:rsid w:val="48154F2A"/>
    <w:rsid w:val="48C21039"/>
    <w:rsid w:val="48CC1253"/>
    <w:rsid w:val="48D00887"/>
    <w:rsid w:val="49182190"/>
    <w:rsid w:val="496E53B1"/>
    <w:rsid w:val="49C2281B"/>
    <w:rsid w:val="49FE24F4"/>
    <w:rsid w:val="4A374734"/>
    <w:rsid w:val="4A5303DD"/>
    <w:rsid w:val="4A8A5EAB"/>
    <w:rsid w:val="4AC00FE3"/>
    <w:rsid w:val="4AD66A58"/>
    <w:rsid w:val="4B013AD5"/>
    <w:rsid w:val="4B0C6EE3"/>
    <w:rsid w:val="4B272E10"/>
    <w:rsid w:val="4B2B6B4B"/>
    <w:rsid w:val="4B887D52"/>
    <w:rsid w:val="4BA43467"/>
    <w:rsid w:val="4C771B75"/>
    <w:rsid w:val="4CB15087"/>
    <w:rsid w:val="4D8A271A"/>
    <w:rsid w:val="4DD0778F"/>
    <w:rsid w:val="4DF325DC"/>
    <w:rsid w:val="4E0F0B9A"/>
    <w:rsid w:val="4E222111"/>
    <w:rsid w:val="4E2D4CA9"/>
    <w:rsid w:val="4E303F58"/>
    <w:rsid w:val="4E616639"/>
    <w:rsid w:val="4E7C7CC1"/>
    <w:rsid w:val="4EAA0B08"/>
    <w:rsid w:val="4EE52DB4"/>
    <w:rsid w:val="4F053BF6"/>
    <w:rsid w:val="4F3246B7"/>
    <w:rsid w:val="4F4A7D35"/>
    <w:rsid w:val="4F4E005F"/>
    <w:rsid w:val="4F522246"/>
    <w:rsid w:val="4F9111A0"/>
    <w:rsid w:val="4FFA0AF3"/>
    <w:rsid w:val="500109DB"/>
    <w:rsid w:val="50513B5D"/>
    <w:rsid w:val="508A631B"/>
    <w:rsid w:val="509E6F85"/>
    <w:rsid w:val="50B45146"/>
    <w:rsid w:val="50D731F5"/>
    <w:rsid w:val="51047479"/>
    <w:rsid w:val="514E7348"/>
    <w:rsid w:val="518D5397"/>
    <w:rsid w:val="519A258E"/>
    <w:rsid w:val="52176C0D"/>
    <w:rsid w:val="529A5149"/>
    <w:rsid w:val="531B129F"/>
    <w:rsid w:val="533C1422"/>
    <w:rsid w:val="5349426B"/>
    <w:rsid w:val="5382777D"/>
    <w:rsid w:val="538D1727"/>
    <w:rsid w:val="538E2218"/>
    <w:rsid w:val="539E4B12"/>
    <w:rsid w:val="53C24C56"/>
    <w:rsid w:val="54396FBB"/>
    <w:rsid w:val="54695C17"/>
    <w:rsid w:val="54AA0D3A"/>
    <w:rsid w:val="54B96FDC"/>
    <w:rsid w:val="5522413C"/>
    <w:rsid w:val="55890693"/>
    <w:rsid w:val="55BD55D2"/>
    <w:rsid w:val="55F12998"/>
    <w:rsid w:val="55F81F79"/>
    <w:rsid w:val="56394843"/>
    <w:rsid w:val="568D7335"/>
    <w:rsid w:val="574F7976"/>
    <w:rsid w:val="5755260F"/>
    <w:rsid w:val="5797300A"/>
    <w:rsid w:val="57C71C02"/>
    <w:rsid w:val="57DF519E"/>
    <w:rsid w:val="58044C05"/>
    <w:rsid w:val="58294F7F"/>
    <w:rsid w:val="58417C07"/>
    <w:rsid w:val="586C6306"/>
    <w:rsid w:val="589D2963"/>
    <w:rsid w:val="58BB7B9D"/>
    <w:rsid w:val="5900361E"/>
    <w:rsid w:val="5927612C"/>
    <w:rsid w:val="59654BF9"/>
    <w:rsid w:val="59826341"/>
    <w:rsid w:val="5A2C091C"/>
    <w:rsid w:val="5A34764A"/>
    <w:rsid w:val="5A9559D9"/>
    <w:rsid w:val="5ADF54B5"/>
    <w:rsid w:val="5B2F21B9"/>
    <w:rsid w:val="5B7025B1"/>
    <w:rsid w:val="5B7F07AB"/>
    <w:rsid w:val="5BB74E52"/>
    <w:rsid w:val="5C0950B4"/>
    <w:rsid w:val="5C125416"/>
    <w:rsid w:val="5C2A2760"/>
    <w:rsid w:val="5C3153B7"/>
    <w:rsid w:val="5C4821F4"/>
    <w:rsid w:val="5CBB785C"/>
    <w:rsid w:val="5CD42798"/>
    <w:rsid w:val="5D3A514F"/>
    <w:rsid w:val="5D5A7B3E"/>
    <w:rsid w:val="5D7243BE"/>
    <w:rsid w:val="5D940E92"/>
    <w:rsid w:val="5DAB78D0"/>
    <w:rsid w:val="5DBE7604"/>
    <w:rsid w:val="5DCB787D"/>
    <w:rsid w:val="5E6C07E1"/>
    <w:rsid w:val="5E78528B"/>
    <w:rsid w:val="5E880432"/>
    <w:rsid w:val="5E8D2343"/>
    <w:rsid w:val="5E99597B"/>
    <w:rsid w:val="5EEE3123"/>
    <w:rsid w:val="5EF01A3F"/>
    <w:rsid w:val="5EF66843"/>
    <w:rsid w:val="5EF97313"/>
    <w:rsid w:val="5FAD3EA6"/>
    <w:rsid w:val="60031C46"/>
    <w:rsid w:val="60225F96"/>
    <w:rsid w:val="604A13BF"/>
    <w:rsid w:val="60795A64"/>
    <w:rsid w:val="607A190A"/>
    <w:rsid w:val="608F5E9D"/>
    <w:rsid w:val="60BF59C2"/>
    <w:rsid w:val="60C3622F"/>
    <w:rsid w:val="60C846E2"/>
    <w:rsid w:val="60DD562E"/>
    <w:rsid w:val="60F93883"/>
    <w:rsid w:val="61107DEC"/>
    <w:rsid w:val="61131A15"/>
    <w:rsid w:val="61EF4230"/>
    <w:rsid w:val="622F4B85"/>
    <w:rsid w:val="623514F8"/>
    <w:rsid w:val="6269729D"/>
    <w:rsid w:val="62A212A2"/>
    <w:rsid w:val="62B13DF7"/>
    <w:rsid w:val="62B6559F"/>
    <w:rsid w:val="631321A0"/>
    <w:rsid w:val="63270DF6"/>
    <w:rsid w:val="63444A8D"/>
    <w:rsid w:val="634E142A"/>
    <w:rsid w:val="6360432F"/>
    <w:rsid w:val="638C7FE1"/>
    <w:rsid w:val="63B3128D"/>
    <w:rsid w:val="64464CA2"/>
    <w:rsid w:val="647C485B"/>
    <w:rsid w:val="651F1272"/>
    <w:rsid w:val="65A11CE5"/>
    <w:rsid w:val="65D33E68"/>
    <w:rsid w:val="665156DB"/>
    <w:rsid w:val="666F57A5"/>
    <w:rsid w:val="66B71094"/>
    <w:rsid w:val="66CB5772"/>
    <w:rsid w:val="66DF7F64"/>
    <w:rsid w:val="67285436"/>
    <w:rsid w:val="678F1105"/>
    <w:rsid w:val="6796514D"/>
    <w:rsid w:val="6821710D"/>
    <w:rsid w:val="6826518F"/>
    <w:rsid w:val="683B72BC"/>
    <w:rsid w:val="68B95D68"/>
    <w:rsid w:val="68CA1262"/>
    <w:rsid w:val="690F11C8"/>
    <w:rsid w:val="69132EFA"/>
    <w:rsid w:val="69232A11"/>
    <w:rsid w:val="69372020"/>
    <w:rsid w:val="6946402E"/>
    <w:rsid w:val="695C48C4"/>
    <w:rsid w:val="696077C1"/>
    <w:rsid w:val="69621CB5"/>
    <w:rsid w:val="69886D18"/>
    <w:rsid w:val="69AC733B"/>
    <w:rsid w:val="6A902328"/>
    <w:rsid w:val="6B014FD4"/>
    <w:rsid w:val="6B5C045C"/>
    <w:rsid w:val="6BF87B65"/>
    <w:rsid w:val="6C9C3206"/>
    <w:rsid w:val="6CFA2183"/>
    <w:rsid w:val="6D156B14"/>
    <w:rsid w:val="6D282CEC"/>
    <w:rsid w:val="6D315FEE"/>
    <w:rsid w:val="6DD15131"/>
    <w:rsid w:val="6DDF3EE6"/>
    <w:rsid w:val="6EAB3BD4"/>
    <w:rsid w:val="6EB63D6A"/>
    <w:rsid w:val="6EE20EBC"/>
    <w:rsid w:val="6F3941F6"/>
    <w:rsid w:val="6F547DC8"/>
    <w:rsid w:val="6F6E7694"/>
    <w:rsid w:val="6F996DE9"/>
    <w:rsid w:val="6FF0435D"/>
    <w:rsid w:val="6FFC3047"/>
    <w:rsid w:val="700946A2"/>
    <w:rsid w:val="702E686B"/>
    <w:rsid w:val="707A20B1"/>
    <w:rsid w:val="708C73D6"/>
    <w:rsid w:val="70EE5FFA"/>
    <w:rsid w:val="71730F36"/>
    <w:rsid w:val="71AF5979"/>
    <w:rsid w:val="71B11502"/>
    <w:rsid w:val="71B305BE"/>
    <w:rsid w:val="71B903B6"/>
    <w:rsid w:val="724D5513"/>
    <w:rsid w:val="724F0D1A"/>
    <w:rsid w:val="72E90D7F"/>
    <w:rsid w:val="72F623B5"/>
    <w:rsid w:val="734A7CA3"/>
    <w:rsid w:val="73E6493D"/>
    <w:rsid w:val="740718AD"/>
    <w:rsid w:val="740D3DE3"/>
    <w:rsid w:val="744901B5"/>
    <w:rsid w:val="74B52EF5"/>
    <w:rsid w:val="74C01A5C"/>
    <w:rsid w:val="74DB0643"/>
    <w:rsid w:val="75287A71"/>
    <w:rsid w:val="753D12FE"/>
    <w:rsid w:val="75701BF7"/>
    <w:rsid w:val="7597793D"/>
    <w:rsid w:val="75997EBA"/>
    <w:rsid w:val="75A55921"/>
    <w:rsid w:val="75CA0DE4"/>
    <w:rsid w:val="76007DF5"/>
    <w:rsid w:val="76085ADE"/>
    <w:rsid w:val="761C0156"/>
    <w:rsid w:val="762E7539"/>
    <w:rsid w:val="7691545E"/>
    <w:rsid w:val="76995148"/>
    <w:rsid w:val="76DB13DC"/>
    <w:rsid w:val="77221CA7"/>
    <w:rsid w:val="772C162A"/>
    <w:rsid w:val="7753605F"/>
    <w:rsid w:val="77C33D3D"/>
    <w:rsid w:val="77F008AA"/>
    <w:rsid w:val="7830411D"/>
    <w:rsid w:val="78782D79"/>
    <w:rsid w:val="78AF25A0"/>
    <w:rsid w:val="78E0091E"/>
    <w:rsid w:val="794C278F"/>
    <w:rsid w:val="799106C2"/>
    <w:rsid w:val="79A57CFD"/>
    <w:rsid w:val="79B078F9"/>
    <w:rsid w:val="7A1F11F7"/>
    <w:rsid w:val="7A584081"/>
    <w:rsid w:val="7A805F15"/>
    <w:rsid w:val="7AB35C3F"/>
    <w:rsid w:val="7B0A3FDF"/>
    <w:rsid w:val="7B2170B9"/>
    <w:rsid w:val="7B6273C9"/>
    <w:rsid w:val="7BD915BE"/>
    <w:rsid w:val="7C345DD3"/>
    <w:rsid w:val="7C574ECB"/>
    <w:rsid w:val="7C781312"/>
    <w:rsid w:val="7CA552F2"/>
    <w:rsid w:val="7CFC42FA"/>
    <w:rsid w:val="7D5B3117"/>
    <w:rsid w:val="7D75011A"/>
    <w:rsid w:val="7D7D498E"/>
    <w:rsid w:val="7D850096"/>
    <w:rsid w:val="7D891758"/>
    <w:rsid w:val="7DF32EA2"/>
    <w:rsid w:val="7DF82266"/>
    <w:rsid w:val="7EE10907"/>
    <w:rsid w:val="7F587460"/>
    <w:rsid w:val="7F7C1A4A"/>
    <w:rsid w:val="7FE61D33"/>
    <w:rsid w:val="7FE6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Calibri" w:hAnsi="Calibri" w:eastAsia="宋体" w:cs="Times New Roman"/>
      <w:sz w:val="30"/>
    </w:rPr>
  </w:style>
  <w:style w:type="paragraph" w:styleId="3">
    <w:name w:val="annotation text"/>
    <w:basedOn w:val="1"/>
    <w:autoRedefine/>
    <w:qFormat/>
    <w:uiPriority w:val="99"/>
    <w:pPr>
      <w:jc w:val="left"/>
    </w:pPr>
  </w:style>
  <w:style w:type="paragraph" w:styleId="4">
    <w:name w:val="Plain Text"/>
    <w:basedOn w:val="1"/>
    <w:autoRedefine/>
    <w:semiHidden/>
    <w:unhideWhenUsed/>
    <w:qFormat/>
    <w:uiPriority w:val="99"/>
    <w:rPr>
      <w:rFonts w:hint="eastAsia" w:ascii="宋体" w:hAnsi="Courier New"/>
      <w:szCs w:val="20"/>
    </w:rPr>
  </w:style>
  <w:style w:type="paragraph" w:styleId="5">
    <w:name w:val="footer"/>
    <w:basedOn w:val="1"/>
    <w:autoRedefine/>
    <w:qFormat/>
    <w:uiPriority w:val="99"/>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100" w:beforeLines="0" w:beforeAutospacing="1" w:after="100" w:afterLines="0" w:afterAutospacing="1"/>
      <w:ind w:left="0" w:right="0"/>
      <w:jc w:val="left"/>
    </w:pPr>
    <w:rPr>
      <w:kern w:val="0"/>
      <w:sz w:val="24"/>
      <w:lang w:val="en-US" w:eastAsia="zh-CN" w:bidi="ar"/>
    </w:rPr>
  </w:style>
  <w:style w:type="character" w:styleId="10">
    <w:name w:val="Strong"/>
    <w:basedOn w:val="9"/>
    <w:autoRedefine/>
    <w:qFormat/>
    <w:uiPriority w:val="0"/>
    <w:rPr>
      <w:b/>
    </w:rPr>
  </w:style>
  <w:style w:type="character" w:styleId="11">
    <w:name w:val="Hyperlink"/>
    <w:basedOn w:val="9"/>
    <w:autoRedefine/>
    <w:qFormat/>
    <w:uiPriority w:val="0"/>
    <w:rPr>
      <w:color w:val="0000FF"/>
      <w:u w:val="single"/>
    </w:rPr>
  </w:style>
  <w:style w:type="paragraph" w:customStyle="1" w:styleId="12">
    <w:name w:val="封面标准英文名称"/>
    <w:basedOn w:val="13"/>
    <w:autoRedefine/>
    <w:qFormat/>
    <w:uiPriority w:val="0"/>
    <w:pPr>
      <w:spacing w:before="370" w:line="400" w:lineRule="exact"/>
    </w:pPr>
    <w:rPr>
      <w:rFonts w:ascii="Times New Roman"/>
      <w:sz w:val="28"/>
      <w:szCs w:val="28"/>
    </w:rPr>
  </w:style>
  <w:style w:type="paragraph" w:customStyle="1" w:styleId="13">
    <w:name w:val="封面标准名称"/>
    <w:autoRedefine/>
    <w:qFormat/>
    <w:uiPriority w:val="99"/>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
    <w:name w:val="4.1"/>
    <w:basedOn w:val="16"/>
    <w:autoRedefine/>
    <w:qFormat/>
    <w:uiPriority w:val="0"/>
    <w:pPr>
      <w:numPr>
        <w:ilvl w:val="0"/>
        <w:numId w:val="0"/>
      </w:numPr>
      <w:tabs>
        <w:tab w:val="left" w:pos="363"/>
      </w:tabs>
      <w:spacing w:before="156" w:after="156"/>
      <w:ind w:firstLine="363"/>
    </w:pPr>
    <w:rPr>
      <w:szCs w:val="21"/>
    </w:rPr>
  </w:style>
  <w:style w:type="paragraph" w:customStyle="1" w:styleId="16">
    <w:name w:val="一级条标题"/>
    <w:next w:val="14"/>
    <w:autoRedefine/>
    <w:qFormat/>
    <w:uiPriority w:val="0"/>
    <w:pPr>
      <w:numPr>
        <w:ilvl w:val="1"/>
        <w:numId w:val="1"/>
      </w:numPr>
      <w:spacing w:beforeLines="50" w:afterLines="50"/>
      <w:outlineLvl w:val="2"/>
    </w:pPr>
    <w:rPr>
      <w:rFonts w:ascii="黑体" w:hAnsi="Times New Roman" w:eastAsia="黑体" w:cs="Times New Roman"/>
      <w:sz w:val="21"/>
      <w:szCs w:val="22"/>
      <w:lang w:val="en-US" w:eastAsia="zh-CN" w:bidi="ar-SA"/>
    </w:rPr>
  </w:style>
  <w:style w:type="paragraph" w:customStyle="1" w:styleId="17">
    <w:name w:val="Heading4"/>
    <w:basedOn w:val="1"/>
    <w:next w:val="1"/>
    <w:autoRedefine/>
    <w:qFormat/>
    <w:uiPriority w:val="99"/>
    <w:pPr>
      <w:spacing w:line="400" w:lineRule="exact"/>
    </w:pPr>
    <w:rPr>
      <w:szCs w:val="28"/>
    </w:rPr>
  </w:style>
  <w:style w:type="paragraph" w:customStyle="1" w:styleId="18">
    <w:name w:val="Normal Indent"/>
    <w:basedOn w:val="1"/>
    <w:autoRedefine/>
    <w:qFormat/>
    <w:uiPriority w:val="0"/>
    <w:pPr>
      <w:ind w:firstLine="420"/>
    </w:pPr>
  </w:style>
  <w:style w:type="paragraph" w:customStyle="1" w:styleId="19">
    <w:name w:val="章标题"/>
    <w:next w:val="14"/>
    <w:autoRedefine/>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F:\~&#27491;&#22312;&#22788;&#29702;\2025-11-10%20&#33021;&#25928;&#26631;&#20934;&#21046;&#23450;\2026-4-15%20&#19993;&#28911;&#37240;&#35013;&#32622;&#21333;&#32791;&#38480;&#39069;&#26631;&#20934;&#35745;&#31639;&#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F:\~&#27491;&#22312;&#22788;&#29702;\2025-11-10%20&#33021;&#25928;&#26631;&#20934;&#21046;&#23450;\2026-4-15%20&#19993;&#28911;&#37240;&#35013;&#32622;&#21333;&#32791;&#38480;&#39069;&#26631;&#20934;&#35745;&#31639;&#34920;.xlsx" TargetMode="External"/></Relationships>
</file>

<file path=word/charts/_rels/chart3.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2.xml"/><Relationship Id="rId1" Type="http://schemas.openxmlformats.org/officeDocument/2006/relationships/oleObject" Target="file:///F:\~&#27491;&#22312;&#22788;&#29702;\2025-11-10%20&#33021;&#25928;&#26631;&#20934;&#21046;&#23450;\2026-4-15%20&#19993;&#28911;&#37240;&#35013;&#32622;&#21333;&#32791;&#38480;&#39069;&#26631;&#20934;&#35745;&#31639;&#34920;.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F:\~&#27491;&#22312;&#22788;&#29702;\2025-11-10%20&#33021;&#25928;&#26631;&#20934;&#21046;&#23450;\2026-4-15%20&#19993;&#28911;&#37240;&#35013;&#32622;&#21333;&#32791;&#38480;&#39069;&#26631;&#20934;&#35745;&#31639;&#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marker"/>
        <c:varyColors val="0"/>
        <c:ser>
          <c:idx val="0"/>
          <c:order val="0"/>
          <c:spPr>
            <a:ln w="19050" cap="rnd">
              <a:noFill/>
              <a:round/>
            </a:ln>
            <a:effectLst/>
          </c:spPr>
          <c:marker>
            <c:symbol val="circle"/>
            <c:size val="11"/>
            <c:spPr>
              <a:solidFill>
                <a:schemeClr val="accent1"/>
              </a:solidFill>
              <a:ln w="19050">
                <a:solidFill>
                  <a:schemeClr val="tx1">
                    <a:lumMod val="85000"/>
                    <a:lumOff val="15000"/>
                  </a:schemeClr>
                </a:solidFill>
              </a:ln>
              <a:effectLst/>
            </c:spPr>
          </c:marker>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yVal>
            <c:numRef>
              <c:f>'[2026-4-15 丙烯酸装置单耗限额标准计算表.xlsx]汇总'!$D$103:$D$108</c:f>
              <c:numCache>
                <c:formatCode>General</c:formatCode>
                <c:ptCount val="6"/>
                <c:pt idx="0">
                  <c:v>178.53</c:v>
                </c:pt>
                <c:pt idx="1">
                  <c:v>106.02</c:v>
                </c:pt>
                <c:pt idx="2">
                  <c:v>70.08</c:v>
                </c:pt>
                <c:pt idx="3">
                  <c:v>-214.52</c:v>
                </c:pt>
                <c:pt idx="4">
                  <c:v>-225.83</c:v>
                </c:pt>
                <c:pt idx="5">
                  <c:v>-37.2</c:v>
                </c:pt>
              </c:numCache>
            </c:numRef>
          </c:yVal>
          <c:smooth val="0"/>
        </c:ser>
        <c:dLbls>
          <c:showLegendKey val="0"/>
          <c:showVal val="1"/>
          <c:showCatName val="0"/>
          <c:showSerName val="0"/>
          <c:showPercent val="0"/>
          <c:showBubbleSize val="0"/>
        </c:dLbls>
        <c:axId val="86437388"/>
        <c:axId val="576262185"/>
      </c:scatterChart>
      <c:valAx>
        <c:axId val="86437388"/>
        <c:scaling>
          <c:orientation val="minMax"/>
        </c:scaling>
        <c:delete val="0"/>
        <c:axPos val="b"/>
        <c:numFmt formatCode="General" sourceLinked="1"/>
        <c:majorTickMark val="none"/>
        <c:minorTickMark val="none"/>
        <c:tickLblPos val="nextTo"/>
        <c:spPr>
          <a:noFill/>
          <a:ln w="12700" cap="flat" cmpd="sng" algn="ctr">
            <a:solidFill>
              <a:schemeClr val="tx1">
                <a:lumMod val="50000"/>
                <a:lumOff val="50000"/>
                <a:alpha val="2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576262185"/>
        <c:crosses val="autoZero"/>
        <c:crossBetween val="midCat"/>
      </c:valAx>
      <c:valAx>
        <c:axId val="576262185"/>
        <c:scaling>
          <c:orientation val="minMax"/>
        </c:scaling>
        <c:delete val="0"/>
        <c:axPos val="l"/>
        <c:majorGridlines>
          <c:spPr>
            <a:ln w="9525" cap="flat" cmpd="sng" algn="ctr">
              <a:solidFill>
                <a:schemeClr val="tx1">
                  <a:lumMod val="50000"/>
                  <a:lumOff val="50000"/>
                  <a:alpha val="25000"/>
                </a:schemeClr>
              </a:solidFill>
              <a:prstDash val="dash"/>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丙烯酸单位产品综合能耗kgce/t</a:t>
                </a:r>
              </a:p>
            </c:rich>
          </c:tx>
          <c:layout/>
          <c:overlay val="0"/>
          <c:spPr>
            <a:noFill/>
            <a:ln>
              <a:noFill/>
            </a:ln>
            <a:effectLst/>
          </c:spPr>
        </c:title>
        <c:numFmt formatCode="General" sourceLinked="1"/>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86437388"/>
        <c:crosses val="autoZero"/>
        <c:crossBetween val="midCat"/>
      </c:valAx>
      <c:spPr>
        <a:noFill/>
        <a:ln>
          <a:noFill/>
        </a:ln>
        <a:effectLst/>
      </c:spPr>
    </c:plotArea>
    <c:plotVisOnly val="1"/>
    <c:dispBlanksAs val="gap"/>
    <c:showDLblsOverMax val="0"/>
    <c:extLst>
      <c:ext uri="{0b15fc19-7d7d-44ad-8c2d-2c3a37ce22c3}">
        <chartProps xmlns="https://web.wps.cn/et/2018/main" chartId="{f65ff8f7-39e3-4a9f-9414-58feddf3bc42}"/>
      </c:ext>
    </c:extLst>
  </c:chart>
  <c:spPr>
    <a:solidFill>
      <a:schemeClr val="bg1"/>
    </a:solidFill>
    <a:ln w="9525" cap="flat" cmpd="sng" algn="ctr">
      <a:solidFill>
        <a:schemeClr val="tx1">
          <a:lumMod val="50000"/>
          <a:lumOff val="50000"/>
          <a:alpha val="25000"/>
        </a:schemeClr>
      </a:solidFill>
      <a:round/>
    </a:ln>
    <a:effectLst>
      <a:outerShdw blurRad="63500" dist="37357" dir="2700000" sx="0" sy="0" rotWithShape="0">
        <a:scrgbClr r="0" g="0" b="0"/>
      </a:outerShdw>
    </a:effectLst>
  </c:spPr>
  <c:txPr>
    <a:bodyPr/>
    <a:lstStyle/>
    <a:p>
      <a:pPr>
        <a:defRPr lang="zh-CN">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1"/>
          <c:tx>
            <c:strRef>
              <c:f>'[2026-4-15 丙烯酸装置单耗限额标准计算表.xlsx]汇总'!$E$147</c:f>
              <c:strCache>
                <c:ptCount val="1"/>
                <c:pt idx="0">
                  <c:v>先进平均值</c:v>
                </c:pt>
              </c:strCache>
            </c:strRef>
          </c:tx>
          <c:spPr>
            <a:ln w="28575" cap="rnd" cmpd="sng">
              <a:solidFill>
                <a:schemeClr val="accent2"/>
              </a:solidFill>
              <a:prstDash val="dash"/>
              <a:round/>
            </a:ln>
            <a:effectLst/>
            <a:sp3d contourW="28575"/>
          </c:spPr>
          <c:marker>
            <c:symbol val="none"/>
          </c:marker>
          <c:dLbls>
            <c:delete val="1"/>
          </c:dLbls>
          <c:cat>
            <c:numRef>
              <c:f>'[2026-4-15 丙烯酸装置单耗限额标准计算表.xlsx]汇总'!$C$148:$C$153</c:f>
              <c:numCache>
                <c:formatCode>General</c:formatCode>
                <c:ptCount val="6"/>
                <c:pt idx="0">
                  <c:v>1</c:v>
                </c:pt>
                <c:pt idx="1">
                  <c:v>2</c:v>
                </c:pt>
                <c:pt idx="2">
                  <c:v>3</c:v>
                </c:pt>
                <c:pt idx="3">
                  <c:v>4</c:v>
                </c:pt>
                <c:pt idx="4">
                  <c:v>5</c:v>
                </c:pt>
                <c:pt idx="5">
                  <c:v>6</c:v>
                </c:pt>
              </c:numCache>
            </c:numRef>
          </c:cat>
          <c:val>
            <c:numRef>
              <c:f>'[2026-4-15 丙烯酸装置单耗限额标准计算表.xlsx]汇总'!$E$148:$E$153</c:f>
              <c:numCache>
                <c:formatCode>General</c:formatCode>
                <c:ptCount val="6"/>
                <c:pt idx="0">
                  <c:v>-160</c:v>
                </c:pt>
                <c:pt idx="1">
                  <c:v>-160</c:v>
                </c:pt>
                <c:pt idx="2">
                  <c:v>-160</c:v>
                </c:pt>
                <c:pt idx="3">
                  <c:v>-160</c:v>
                </c:pt>
                <c:pt idx="4">
                  <c:v>-160</c:v>
                </c:pt>
                <c:pt idx="5">
                  <c:v>-160</c:v>
                </c:pt>
              </c:numCache>
            </c:numRef>
          </c:val>
          <c:smooth val="0"/>
        </c:ser>
        <c:ser>
          <c:idx val="2"/>
          <c:order val="2"/>
          <c:tx>
            <c:strRef>
              <c:f>'[2026-4-15 丙烯酸装置单耗限额标准计算表.xlsx]汇总'!$F$147</c:f>
              <c:strCache>
                <c:ptCount val="1"/>
                <c:pt idx="0">
                  <c:v>平均值</c:v>
                </c:pt>
              </c:strCache>
            </c:strRef>
          </c:tx>
          <c:spPr>
            <a:ln w="28575" cap="rnd" cmpd="sng">
              <a:solidFill>
                <a:schemeClr val="accent3"/>
              </a:solidFill>
              <a:prstDash val="dash"/>
              <a:round/>
            </a:ln>
            <a:effectLst/>
            <a:sp3d contourW="28575"/>
          </c:spPr>
          <c:marker>
            <c:symbol val="none"/>
          </c:marker>
          <c:dLbls>
            <c:delete val="1"/>
          </c:dLbls>
          <c:cat>
            <c:numRef>
              <c:f>'[2026-4-15 丙烯酸装置单耗限额标准计算表.xlsx]汇总'!$C$148:$C$153</c:f>
              <c:numCache>
                <c:formatCode>General</c:formatCode>
                <c:ptCount val="6"/>
                <c:pt idx="0">
                  <c:v>1</c:v>
                </c:pt>
                <c:pt idx="1">
                  <c:v>2</c:v>
                </c:pt>
                <c:pt idx="2">
                  <c:v>3</c:v>
                </c:pt>
                <c:pt idx="3">
                  <c:v>4</c:v>
                </c:pt>
                <c:pt idx="4">
                  <c:v>5</c:v>
                </c:pt>
                <c:pt idx="5">
                  <c:v>6</c:v>
                </c:pt>
              </c:numCache>
            </c:numRef>
          </c:cat>
          <c:val>
            <c:numRef>
              <c:f>'[2026-4-15 丙烯酸装置单耗限额标准计算表.xlsx]汇总'!$F$148:$F$153</c:f>
              <c:numCache>
                <c:formatCode>General</c:formatCode>
                <c:ptCount val="6"/>
                <c:pt idx="0">
                  <c:v>-20</c:v>
                </c:pt>
                <c:pt idx="1">
                  <c:v>-20</c:v>
                </c:pt>
                <c:pt idx="2">
                  <c:v>-20</c:v>
                </c:pt>
                <c:pt idx="3">
                  <c:v>-20</c:v>
                </c:pt>
                <c:pt idx="4">
                  <c:v>-20</c:v>
                </c:pt>
                <c:pt idx="5">
                  <c:v>-20</c:v>
                </c:pt>
              </c:numCache>
            </c:numRef>
          </c:val>
          <c:smooth val="0"/>
        </c:ser>
        <c:ser>
          <c:idx val="3"/>
          <c:order val="3"/>
          <c:tx>
            <c:strRef>
              <c:f>'[2026-4-15 丙烯酸装置单耗限额标准计算表.xlsx]汇总'!$G$147</c:f>
              <c:strCache>
                <c:ptCount val="1"/>
                <c:pt idx="0">
                  <c:v>二次平均值</c:v>
                </c:pt>
              </c:strCache>
            </c:strRef>
          </c:tx>
          <c:spPr>
            <a:ln w="28575" cap="rnd" cmpd="sng">
              <a:solidFill>
                <a:schemeClr val="accent4"/>
              </a:solidFill>
              <a:prstDash val="dash"/>
              <a:round/>
            </a:ln>
            <a:effectLst/>
            <a:sp3d contourW="28575"/>
          </c:spPr>
          <c:marker>
            <c:symbol val="none"/>
          </c:marker>
          <c:dLbls>
            <c:delete val="1"/>
          </c:dLbls>
          <c:cat>
            <c:numRef>
              <c:f>'[2026-4-15 丙烯酸装置单耗限额标准计算表.xlsx]汇总'!$C$148:$C$153</c:f>
              <c:numCache>
                <c:formatCode>General</c:formatCode>
                <c:ptCount val="6"/>
                <c:pt idx="0">
                  <c:v>1</c:v>
                </c:pt>
                <c:pt idx="1">
                  <c:v>2</c:v>
                </c:pt>
                <c:pt idx="2">
                  <c:v>3</c:v>
                </c:pt>
                <c:pt idx="3">
                  <c:v>4</c:v>
                </c:pt>
                <c:pt idx="4">
                  <c:v>5</c:v>
                </c:pt>
                <c:pt idx="5">
                  <c:v>6</c:v>
                </c:pt>
              </c:numCache>
            </c:numRef>
          </c:cat>
          <c:val>
            <c:numRef>
              <c:f>'[2026-4-15 丙烯酸装置单耗限额标准计算表.xlsx]汇总'!$G$148:$G$153</c:f>
              <c:numCache>
                <c:formatCode>General</c:formatCode>
                <c:ptCount val="6"/>
                <c:pt idx="0">
                  <c:v>118</c:v>
                </c:pt>
                <c:pt idx="1">
                  <c:v>118</c:v>
                </c:pt>
                <c:pt idx="2">
                  <c:v>118</c:v>
                </c:pt>
                <c:pt idx="3">
                  <c:v>118</c:v>
                </c:pt>
                <c:pt idx="4">
                  <c:v>118</c:v>
                </c:pt>
                <c:pt idx="5">
                  <c:v>118</c:v>
                </c:pt>
              </c:numCache>
            </c:numRef>
          </c:val>
          <c:smooth val="0"/>
        </c:ser>
        <c:dLbls>
          <c:showLegendKey val="0"/>
          <c:showVal val="0"/>
          <c:showCatName val="0"/>
          <c:showSerName val="0"/>
          <c:showPercent val="0"/>
          <c:showBubbleSize val="0"/>
        </c:dLbls>
        <c:marker val="0"/>
        <c:smooth val="0"/>
        <c:axId val="986967935"/>
        <c:axId val="117018017"/>
      </c:lineChart>
      <c:scatterChart>
        <c:scatterStyle val="marker"/>
        <c:varyColors val="0"/>
        <c:ser>
          <c:idx val="0"/>
          <c:order val="0"/>
          <c:tx>
            <c:strRef>
              <c:f>'[2026-4-15 丙烯酸装置单耗限额标准计算表.xlsx]汇总'!$D$147</c:f>
              <c:strCache>
                <c:ptCount val="1"/>
                <c:pt idx="0">
                  <c:v>数据</c:v>
                </c:pt>
              </c:strCache>
            </c:strRef>
          </c:tx>
          <c:spPr>
            <a:ln w="19050" cap="rnd">
              <a:noFill/>
              <a:round/>
            </a:ln>
            <a:effectLst/>
          </c:spPr>
          <c:marker>
            <c:symbol val="circle"/>
            <c:size val="5"/>
            <c:spPr>
              <a:solidFill>
                <a:schemeClr val="accent1"/>
              </a:solidFill>
              <a:ln w="9525">
                <a:solidFill>
                  <a:schemeClr val="accent1"/>
                </a:solidFill>
              </a:ln>
              <a:effectLst/>
            </c:spPr>
          </c:marker>
          <c:dLbls>
            <c:delete val="1"/>
          </c:dLbls>
          <c:xVal>
            <c:numRef>
              <c:f>'[2026-4-15 丙烯酸装置单耗限额标准计算表.xlsx]汇总'!$C$148:$C$153</c:f>
              <c:numCache>
                <c:formatCode>General</c:formatCode>
                <c:ptCount val="6"/>
                <c:pt idx="0">
                  <c:v>1</c:v>
                </c:pt>
                <c:pt idx="1">
                  <c:v>2</c:v>
                </c:pt>
                <c:pt idx="2">
                  <c:v>3</c:v>
                </c:pt>
                <c:pt idx="3">
                  <c:v>4</c:v>
                </c:pt>
                <c:pt idx="4">
                  <c:v>5</c:v>
                </c:pt>
                <c:pt idx="5">
                  <c:v>6</c:v>
                </c:pt>
              </c:numCache>
            </c:numRef>
          </c:xVal>
          <c:yVal>
            <c:numRef>
              <c:f>'[2026-4-15 丙烯酸装置单耗限额标准计算表.xlsx]汇总'!$D$148:$D$153</c:f>
              <c:numCache>
                <c:formatCode>General</c:formatCode>
                <c:ptCount val="6"/>
                <c:pt idx="0">
                  <c:v>178.53</c:v>
                </c:pt>
                <c:pt idx="1">
                  <c:v>106.02</c:v>
                </c:pt>
                <c:pt idx="2">
                  <c:v>70.08</c:v>
                </c:pt>
                <c:pt idx="3">
                  <c:v>-214.52</c:v>
                </c:pt>
                <c:pt idx="4">
                  <c:v>-225.83</c:v>
                </c:pt>
                <c:pt idx="5">
                  <c:v>-37.2</c:v>
                </c:pt>
              </c:numCache>
            </c:numRef>
          </c:yVal>
          <c:smooth val="0"/>
        </c:ser>
        <c:dLbls>
          <c:showLegendKey val="0"/>
          <c:showVal val="0"/>
          <c:showCatName val="0"/>
          <c:showSerName val="0"/>
          <c:showPercent val="0"/>
          <c:showBubbleSize val="0"/>
        </c:dLbls>
        <c:axId val="986967935"/>
        <c:axId val="117018017"/>
      </c:scatterChart>
      <c:catAx>
        <c:axId val="986967935"/>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7018017"/>
        <c:crosses val="autoZero"/>
        <c:auto val="1"/>
        <c:lblAlgn val="ctr"/>
        <c:lblOffset val="100"/>
        <c:noMultiLvlLbl val="0"/>
      </c:catAx>
      <c:valAx>
        <c:axId val="117018017"/>
        <c:scaling>
          <c:orientation val="minMax"/>
        </c:scaling>
        <c:delete val="0"/>
        <c:axPos val="l"/>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t>丙烯酸单位产品综合能耗</a:t>
                </a:r>
              </a:p>
              <a:p>
                <a:pPr defTabSz="914400">
                  <a:defRPr lang="zh-CN" sz="1000" b="0" i="0" u="none" strike="noStrike" kern="1200" baseline="0">
                    <a:solidFill>
                      <a:schemeClr val="tx1">
                        <a:lumMod val="65000"/>
                        <a:lumOff val="35000"/>
                      </a:schemeClr>
                    </a:solidFill>
                    <a:latin typeface="+mn-lt"/>
                    <a:ea typeface="+mn-ea"/>
                    <a:cs typeface="+mn-cs"/>
                  </a:defRPr>
                </a:pPr>
                <a:r>
                  <a:rPr lang="en-US" altLang="zh-CN"/>
                  <a:t>kgce/t</a:t>
                </a:r>
                <a:endParaRPr lang="en-US" altLang="zh-CN"/>
              </a:p>
            </c:rich>
          </c:tx>
          <c:layout>
            <c:manualLayout>
              <c:xMode val="edge"/>
              <c:yMode val="edge"/>
              <c:x val="0.0289131291891182"/>
              <c:y val="0.229621125143513"/>
            </c:manualLayout>
          </c:layout>
          <c:overlay val="0"/>
          <c:spPr>
            <a:noFill/>
            <a:ln>
              <a:noFill/>
            </a:ln>
            <a:effectLst/>
          </c:spPr>
        </c:title>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696793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79452f8-303d-4133-b375-4e6083623635}"/>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marker"/>
        <c:varyColors val="0"/>
        <c:ser>
          <c:idx val="0"/>
          <c:order val="0"/>
          <c:spPr>
            <a:ln w="19050" cap="rnd">
              <a:noFill/>
              <a:round/>
            </a:ln>
            <a:effectLst/>
          </c:spPr>
          <c:marker>
            <c:symbol val="circle"/>
            <c:size val="11"/>
            <c:spPr>
              <a:solidFill>
                <a:schemeClr val="accent1"/>
              </a:solidFill>
              <a:ln w="19050">
                <a:solidFill>
                  <a:schemeClr val="tx1">
                    <a:lumMod val="85000"/>
                    <a:lumOff val="15000"/>
                  </a:schemeClr>
                </a:solidFill>
              </a:ln>
              <a:effectLst/>
            </c:spPr>
          </c:marker>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yVal>
            <c:numRef>
              <c:f>'[2026-4-15 丙烯酸装置单耗限额标准计算表.xlsx]汇总'!$L$103:$L$108</c:f>
              <c:numCache>
                <c:formatCode>General</c:formatCode>
                <c:ptCount val="6"/>
                <c:pt idx="0">
                  <c:v>551.09</c:v>
                </c:pt>
                <c:pt idx="1">
                  <c:v>325.23</c:v>
                </c:pt>
                <c:pt idx="2">
                  <c:v>-268.06</c:v>
                </c:pt>
                <c:pt idx="3">
                  <c:v>-688.91</c:v>
                </c:pt>
                <c:pt idx="4">
                  <c:v>-695.11</c:v>
                </c:pt>
                <c:pt idx="5">
                  <c:v>-143.99</c:v>
                </c:pt>
              </c:numCache>
            </c:numRef>
          </c:yVal>
          <c:smooth val="0"/>
        </c:ser>
        <c:dLbls>
          <c:showLegendKey val="0"/>
          <c:showVal val="1"/>
          <c:showCatName val="0"/>
          <c:showSerName val="0"/>
          <c:showPercent val="0"/>
          <c:showBubbleSize val="0"/>
        </c:dLbls>
        <c:axId val="566867306"/>
        <c:axId val="518566752"/>
      </c:scatterChart>
      <c:valAx>
        <c:axId val="566867306"/>
        <c:scaling>
          <c:orientation val="minMax"/>
        </c:scaling>
        <c:delete val="0"/>
        <c:axPos val="b"/>
        <c:numFmt formatCode="General" sourceLinked="1"/>
        <c:majorTickMark val="none"/>
        <c:minorTickMark val="none"/>
        <c:tickLblPos val="nextTo"/>
        <c:spPr>
          <a:noFill/>
          <a:ln w="12700" cap="flat" cmpd="sng" algn="ctr">
            <a:solidFill>
              <a:schemeClr val="tx1">
                <a:lumMod val="50000"/>
                <a:lumOff val="50000"/>
                <a:alpha val="2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518566752"/>
        <c:crosses val="autoZero"/>
        <c:crossBetween val="midCat"/>
      </c:valAx>
      <c:valAx>
        <c:axId val="518566752"/>
        <c:scaling>
          <c:orientation val="minMax"/>
        </c:scaling>
        <c:delete val="0"/>
        <c:axPos val="l"/>
        <c:majorGridlines>
          <c:spPr>
            <a:ln w="9525" cap="flat" cmpd="sng" algn="ctr">
              <a:solidFill>
                <a:schemeClr val="tx1">
                  <a:lumMod val="50000"/>
                  <a:lumOff val="50000"/>
                  <a:alpha val="25000"/>
                </a:schemeClr>
              </a:solidFill>
              <a:prstDash val="dash"/>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丙烯酸单位产品碳排放kgCO2/t</a:t>
                </a:r>
              </a:p>
            </c:rich>
          </c:tx>
          <c:layout/>
          <c:overlay val="0"/>
          <c:spPr>
            <a:noFill/>
            <a:ln>
              <a:noFill/>
            </a:ln>
            <a:effectLst/>
          </c:spPr>
        </c:title>
        <c:numFmt formatCode="General" sourceLinked="1"/>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566867306"/>
        <c:crosses val="autoZero"/>
        <c:crossBetween val="midCat"/>
      </c:valAx>
      <c:spPr>
        <a:noFill/>
        <a:ln>
          <a:noFill/>
        </a:ln>
        <a:effectLst/>
      </c:spPr>
    </c:plotArea>
    <c:plotVisOnly val="1"/>
    <c:dispBlanksAs val="gap"/>
    <c:showDLblsOverMax val="0"/>
    <c:extLst>
      <c:ext uri="{0b15fc19-7d7d-44ad-8c2d-2c3a37ce22c3}">
        <chartProps xmlns="https://web.wps.cn/et/2018/main" chartId="{de5e364e-baaf-4674-8e4a-109c7aa11c9b}"/>
      </c:ext>
    </c:extLst>
  </c:chart>
  <c:spPr>
    <a:solidFill>
      <a:schemeClr val="bg1"/>
    </a:solidFill>
    <a:ln w="9525" cap="flat" cmpd="sng" algn="ctr">
      <a:solidFill>
        <a:schemeClr val="tx1">
          <a:lumMod val="50000"/>
          <a:lumOff val="50000"/>
          <a:alpha val="25000"/>
        </a:schemeClr>
      </a:solidFill>
      <a:round/>
    </a:ln>
    <a:effectLst>
      <a:outerShdw blurRad="63500" dist="37357" dir="2700000" sx="0" sy="0" rotWithShape="0">
        <a:scrgbClr r="0" g="0" b="0"/>
      </a:outerShdw>
    </a:effectLst>
  </c:spPr>
  <c:txPr>
    <a:bodyPr/>
    <a:lstStyle/>
    <a:p>
      <a:pPr>
        <a:defRPr lang="zh-CN">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1"/>
          <c:tx>
            <c:strRef>
              <c:f>'[2026-4-15 丙烯酸装置单耗限额标准计算表.xlsx]汇总'!$M$147</c:f>
              <c:strCache>
                <c:ptCount val="1"/>
                <c:pt idx="0">
                  <c:v>先进平均值</c:v>
                </c:pt>
              </c:strCache>
            </c:strRef>
          </c:tx>
          <c:spPr>
            <a:ln w="28575" cap="rnd" cmpd="sng">
              <a:solidFill>
                <a:schemeClr val="accent2"/>
              </a:solidFill>
              <a:prstDash val="dash"/>
              <a:round/>
            </a:ln>
            <a:effectLst/>
            <a:sp3d contourW="28575"/>
          </c:spPr>
          <c:marker>
            <c:symbol val="none"/>
          </c:marker>
          <c:dLbls>
            <c:delete val="1"/>
          </c:dLbls>
          <c:cat>
            <c:numRef>
              <c:f>'[2026-4-15 丙烯酸装置单耗限额标准计算表.xlsx]汇总'!$K$148:$K$153</c:f>
              <c:numCache>
                <c:formatCode>General</c:formatCode>
                <c:ptCount val="6"/>
                <c:pt idx="0">
                  <c:v>1</c:v>
                </c:pt>
                <c:pt idx="1">
                  <c:v>2</c:v>
                </c:pt>
                <c:pt idx="2">
                  <c:v>3</c:v>
                </c:pt>
                <c:pt idx="3">
                  <c:v>4</c:v>
                </c:pt>
                <c:pt idx="4">
                  <c:v>5</c:v>
                </c:pt>
                <c:pt idx="5">
                  <c:v>6</c:v>
                </c:pt>
              </c:numCache>
            </c:numRef>
          </c:cat>
          <c:val>
            <c:numRef>
              <c:f>'[2026-4-15 丙烯酸装置单耗限额标准计算表.xlsx]汇总'!$M$148:$M$153</c:f>
              <c:numCache>
                <c:formatCode>General</c:formatCode>
                <c:ptCount val="6"/>
                <c:pt idx="0">
                  <c:v>-550</c:v>
                </c:pt>
                <c:pt idx="1">
                  <c:v>-550</c:v>
                </c:pt>
                <c:pt idx="2">
                  <c:v>-550</c:v>
                </c:pt>
                <c:pt idx="3">
                  <c:v>-550</c:v>
                </c:pt>
                <c:pt idx="4">
                  <c:v>-550</c:v>
                </c:pt>
                <c:pt idx="5">
                  <c:v>-550</c:v>
                </c:pt>
              </c:numCache>
            </c:numRef>
          </c:val>
          <c:smooth val="0"/>
        </c:ser>
        <c:ser>
          <c:idx val="2"/>
          <c:order val="2"/>
          <c:tx>
            <c:strRef>
              <c:f>'[2026-4-15 丙烯酸装置单耗限额标准计算表.xlsx]汇总'!$N$147</c:f>
              <c:strCache>
                <c:ptCount val="1"/>
                <c:pt idx="0">
                  <c:v>平均值</c:v>
                </c:pt>
              </c:strCache>
            </c:strRef>
          </c:tx>
          <c:spPr>
            <a:ln w="28575" cap="rnd" cmpd="sng">
              <a:solidFill>
                <a:schemeClr val="accent3"/>
              </a:solidFill>
              <a:prstDash val="dash"/>
              <a:round/>
            </a:ln>
            <a:effectLst/>
            <a:sp3d contourW="28575"/>
          </c:spPr>
          <c:marker>
            <c:symbol val="none"/>
          </c:marker>
          <c:dLbls>
            <c:delete val="1"/>
          </c:dLbls>
          <c:cat>
            <c:numRef>
              <c:f>'[2026-4-15 丙烯酸装置单耗限额标准计算表.xlsx]汇总'!$K$148:$K$153</c:f>
              <c:numCache>
                <c:formatCode>General</c:formatCode>
                <c:ptCount val="6"/>
                <c:pt idx="0">
                  <c:v>1</c:v>
                </c:pt>
                <c:pt idx="1">
                  <c:v>2</c:v>
                </c:pt>
                <c:pt idx="2">
                  <c:v>3</c:v>
                </c:pt>
                <c:pt idx="3">
                  <c:v>4</c:v>
                </c:pt>
                <c:pt idx="4">
                  <c:v>5</c:v>
                </c:pt>
                <c:pt idx="5">
                  <c:v>6</c:v>
                </c:pt>
              </c:numCache>
            </c:numRef>
          </c:cat>
          <c:val>
            <c:numRef>
              <c:f>'[2026-4-15 丙烯酸装置单耗限额标准计算表.xlsx]汇总'!$N$148:$N$153</c:f>
              <c:numCache>
                <c:formatCode>General</c:formatCode>
                <c:ptCount val="6"/>
                <c:pt idx="0">
                  <c:v>-153</c:v>
                </c:pt>
                <c:pt idx="1">
                  <c:v>-153</c:v>
                </c:pt>
                <c:pt idx="2">
                  <c:v>-153</c:v>
                </c:pt>
                <c:pt idx="3">
                  <c:v>-153</c:v>
                </c:pt>
                <c:pt idx="4">
                  <c:v>-153</c:v>
                </c:pt>
                <c:pt idx="5">
                  <c:v>-153</c:v>
                </c:pt>
              </c:numCache>
            </c:numRef>
          </c:val>
          <c:smooth val="0"/>
        </c:ser>
        <c:ser>
          <c:idx val="3"/>
          <c:order val="3"/>
          <c:tx>
            <c:strRef>
              <c:f>'[2026-4-15 丙烯酸装置单耗限额标准计算表.xlsx]汇总'!$O$147</c:f>
              <c:strCache>
                <c:ptCount val="1"/>
                <c:pt idx="0">
                  <c:v>二次平均值</c:v>
                </c:pt>
              </c:strCache>
            </c:strRef>
          </c:tx>
          <c:spPr>
            <a:ln w="28575" cap="rnd" cmpd="sng">
              <a:solidFill>
                <a:schemeClr val="accent4"/>
              </a:solidFill>
              <a:prstDash val="dash"/>
              <a:round/>
            </a:ln>
            <a:effectLst/>
            <a:sp3d contourW="28575"/>
          </c:spPr>
          <c:marker>
            <c:symbol val="none"/>
          </c:marker>
          <c:dLbls>
            <c:delete val="1"/>
          </c:dLbls>
          <c:cat>
            <c:numRef>
              <c:f>'[2026-4-15 丙烯酸装置单耗限额标准计算表.xlsx]汇总'!$K$148:$K$153</c:f>
              <c:numCache>
                <c:formatCode>General</c:formatCode>
                <c:ptCount val="6"/>
                <c:pt idx="0">
                  <c:v>1</c:v>
                </c:pt>
                <c:pt idx="1">
                  <c:v>2</c:v>
                </c:pt>
                <c:pt idx="2">
                  <c:v>3</c:v>
                </c:pt>
                <c:pt idx="3">
                  <c:v>4</c:v>
                </c:pt>
                <c:pt idx="4">
                  <c:v>5</c:v>
                </c:pt>
                <c:pt idx="5">
                  <c:v>6</c:v>
                </c:pt>
              </c:numCache>
            </c:numRef>
          </c:cat>
          <c:val>
            <c:numRef>
              <c:f>'[2026-4-15 丙烯酸装置单耗限额标准计算表.xlsx]汇总'!$O$148:$O$153</c:f>
              <c:numCache>
                <c:formatCode>General</c:formatCode>
                <c:ptCount val="6"/>
                <c:pt idx="0">
                  <c:v>244</c:v>
                </c:pt>
                <c:pt idx="1">
                  <c:v>244</c:v>
                </c:pt>
                <c:pt idx="2">
                  <c:v>244</c:v>
                </c:pt>
                <c:pt idx="3">
                  <c:v>244</c:v>
                </c:pt>
                <c:pt idx="4">
                  <c:v>244</c:v>
                </c:pt>
                <c:pt idx="5">
                  <c:v>244</c:v>
                </c:pt>
              </c:numCache>
            </c:numRef>
          </c:val>
          <c:smooth val="0"/>
        </c:ser>
        <c:dLbls>
          <c:showLegendKey val="0"/>
          <c:showVal val="0"/>
          <c:showCatName val="0"/>
          <c:showSerName val="0"/>
          <c:showPercent val="0"/>
          <c:showBubbleSize val="0"/>
        </c:dLbls>
        <c:marker val="0"/>
        <c:smooth val="0"/>
        <c:axId val="986967935"/>
        <c:axId val="117018017"/>
      </c:lineChart>
      <c:scatterChart>
        <c:scatterStyle val="marker"/>
        <c:varyColors val="0"/>
        <c:ser>
          <c:idx val="0"/>
          <c:order val="0"/>
          <c:tx>
            <c:strRef>
              <c:f>'[2026-4-15 丙烯酸装置单耗限额标准计算表.xlsx]汇总'!$L$147</c:f>
              <c:strCache>
                <c:ptCount val="1"/>
                <c:pt idx="0">
                  <c:v>数据</c:v>
                </c:pt>
              </c:strCache>
            </c:strRef>
          </c:tx>
          <c:spPr>
            <a:ln w="19050" cap="rnd">
              <a:noFill/>
              <a:round/>
            </a:ln>
            <a:effectLst/>
          </c:spPr>
          <c:marker>
            <c:symbol val="circle"/>
            <c:size val="5"/>
            <c:spPr>
              <a:solidFill>
                <a:schemeClr val="accent1"/>
              </a:solidFill>
              <a:ln w="9525">
                <a:solidFill>
                  <a:schemeClr val="accent1"/>
                </a:solidFill>
              </a:ln>
              <a:effectLst/>
            </c:spPr>
          </c:marker>
          <c:dLbls>
            <c:delete val="1"/>
          </c:dLbls>
          <c:xVal>
            <c:numRef>
              <c:f>'[2026-4-15 丙烯酸装置单耗限额标准计算表.xlsx]汇总'!$K$148:$K$153</c:f>
              <c:numCache>
                <c:formatCode>General</c:formatCode>
                <c:ptCount val="6"/>
                <c:pt idx="0">
                  <c:v>1</c:v>
                </c:pt>
                <c:pt idx="1">
                  <c:v>2</c:v>
                </c:pt>
                <c:pt idx="2">
                  <c:v>3</c:v>
                </c:pt>
                <c:pt idx="3">
                  <c:v>4</c:v>
                </c:pt>
                <c:pt idx="4">
                  <c:v>5</c:v>
                </c:pt>
                <c:pt idx="5">
                  <c:v>6</c:v>
                </c:pt>
              </c:numCache>
            </c:numRef>
          </c:xVal>
          <c:yVal>
            <c:numRef>
              <c:f>'[2026-4-15 丙烯酸装置单耗限额标准计算表.xlsx]汇总'!$L$148:$L$153</c:f>
              <c:numCache>
                <c:formatCode>General</c:formatCode>
                <c:ptCount val="6"/>
                <c:pt idx="0">
                  <c:v>551.09</c:v>
                </c:pt>
                <c:pt idx="1">
                  <c:v>325.23</c:v>
                </c:pt>
                <c:pt idx="2">
                  <c:v>-268.06</c:v>
                </c:pt>
                <c:pt idx="3">
                  <c:v>-688.91</c:v>
                </c:pt>
                <c:pt idx="4">
                  <c:v>-695.11</c:v>
                </c:pt>
                <c:pt idx="5">
                  <c:v>-143.99</c:v>
                </c:pt>
              </c:numCache>
            </c:numRef>
          </c:yVal>
          <c:smooth val="0"/>
        </c:ser>
        <c:dLbls>
          <c:showLegendKey val="0"/>
          <c:showVal val="0"/>
          <c:showCatName val="0"/>
          <c:showSerName val="0"/>
          <c:showPercent val="0"/>
          <c:showBubbleSize val="0"/>
        </c:dLbls>
        <c:axId val="986967935"/>
        <c:axId val="117018017"/>
      </c:scatterChart>
      <c:catAx>
        <c:axId val="986967935"/>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17018017"/>
        <c:crosses val="autoZero"/>
        <c:auto val="1"/>
        <c:lblAlgn val="ctr"/>
        <c:lblOffset val="100"/>
        <c:noMultiLvlLbl val="0"/>
      </c:catAx>
      <c:valAx>
        <c:axId val="117018017"/>
        <c:scaling>
          <c:orientation val="minMax"/>
        </c:scaling>
        <c:delete val="0"/>
        <c:axPos val="l"/>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t>丙烯酸单位产品碳排放</a:t>
                </a:r>
              </a:p>
              <a:p>
                <a:pPr defTabSz="914400">
                  <a:defRPr lang="zh-CN" sz="1000" b="0" i="0" u="none" strike="noStrike" kern="1200" baseline="0">
                    <a:solidFill>
                      <a:schemeClr val="tx1">
                        <a:lumMod val="65000"/>
                        <a:lumOff val="35000"/>
                      </a:schemeClr>
                    </a:solidFill>
                    <a:latin typeface="+mn-lt"/>
                    <a:ea typeface="+mn-ea"/>
                    <a:cs typeface="+mn-cs"/>
                  </a:defRPr>
                </a:pPr>
                <a:r>
                  <a:rPr lang="en-US" altLang="zh-CN"/>
                  <a:t>kgCO2/t</a:t>
                </a:r>
                <a:endParaRPr lang="en-US" altLang="zh-CN"/>
              </a:p>
            </c:rich>
          </c:tx>
          <c:layout>
            <c:manualLayout>
              <c:xMode val="edge"/>
              <c:yMode val="edge"/>
              <c:x val="0.0273358421228721"/>
              <c:y val="0.205281285878301"/>
            </c:manualLayout>
          </c:layout>
          <c:overlay val="0"/>
          <c:spPr>
            <a:noFill/>
            <a:ln>
              <a:noFill/>
            </a:ln>
            <a:effectLst/>
          </c:spPr>
        </c:title>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696793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cb8035eb-a5ed-4bdb-a254-465a6135461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29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298">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可爱风">
    <a:dk1>
      <a:srgbClr val="000000"/>
    </a:dk1>
    <a:lt1>
      <a:srgbClr val="FFFFFF"/>
    </a:lt1>
    <a:dk2>
      <a:srgbClr val="44546A"/>
    </a:dk2>
    <a:lt2>
      <a:srgbClr val="E7E6E6"/>
    </a:lt2>
    <a:accent1>
      <a:srgbClr val="8ECBEE"/>
    </a:accent1>
    <a:accent2>
      <a:srgbClr val="FFD873"/>
    </a:accent2>
    <a:accent3>
      <a:srgbClr val="F279A3"/>
    </a:accent3>
    <a:accent4>
      <a:srgbClr val="F8B39E"/>
    </a:accent4>
    <a:accent5>
      <a:srgbClr val="B8E2DD"/>
    </a:accent5>
    <a:accent6>
      <a:srgbClr val="DEDC6A"/>
    </a:accent6>
    <a:hlink>
      <a:srgbClr val="0026E5"/>
    </a:hlink>
    <a:folHlink>
      <a:srgbClr val="7E1FA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Narrow"/>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可爱风">
    <a:dk1>
      <a:srgbClr val="000000"/>
    </a:dk1>
    <a:lt1>
      <a:srgbClr val="FFFFFF"/>
    </a:lt1>
    <a:dk2>
      <a:srgbClr val="44546A"/>
    </a:dk2>
    <a:lt2>
      <a:srgbClr val="E7E6E6"/>
    </a:lt2>
    <a:accent1>
      <a:srgbClr val="8ECBEE"/>
    </a:accent1>
    <a:accent2>
      <a:srgbClr val="FFD873"/>
    </a:accent2>
    <a:accent3>
      <a:srgbClr val="F279A3"/>
    </a:accent3>
    <a:accent4>
      <a:srgbClr val="F8B39E"/>
    </a:accent4>
    <a:accent5>
      <a:srgbClr val="B8E2DD"/>
    </a:accent5>
    <a:accent6>
      <a:srgbClr val="DEDC6A"/>
    </a:accent6>
    <a:hlink>
      <a:srgbClr val="0026E5"/>
    </a:hlink>
    <a:folHlink>
      <a:srgbClr val="7E1FA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Narrow"/>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be05142d-1565-4113-903f-948ab1481d43</errorID>
      <errorWord>二O二六</errorWord>
      <group>L1_Knowledge</group>
      <groupName>知识性问题</groupName>
      <ability>L2_Knowledge</ability>
      <abilityName>其他知识</abilityName>
      <candidateList>
        <item>二〇二六</item>
      </candidateList>
      <explain>中文数字应使用“〇”，而非形似的字符，如“O”。该字符在不同字体下外观可能相似，但含义和编码不同，请注意区分。</explain>
      <paraID>3DACFF3A</paraID>
      <start>0</start>
      <end>4</end>
      <status>modified</status>
      <modifiedWord>二〇二六</modifiedWord>
      <trackRevisions>false</trackRevisions>
    </reviewItem>
    <reviewItem>
      <errorID>a9e3f513-00dc-4c70-8075-2d087ebcb400</errorID>
      <errorWord>“双碳”战略</errorWord>
      <group>L1_Word</group>
      <groupName>字词问题</groupName>
      <ability>L2_Typo</ability>
      <abilityName>字词错误</abilityName>
      <candidateList>
        <item>“双碳”目标</item>
      </candidateList>
      <explain/>
      <paraID>5FAA51F4</paraID>
      <start>14</start>
      <end>20</end>
      <status>modified</status>
      <modifiedWord>“双碳”目标</modifiedWord>
      <trackRevisions>false</trackRevisions>
    </reviewItem>
    <reviewItem>
      <errorID>d7249341-2895-4e75-bc73-e842d4444098</errorID>
      <errorWord>制订</errorWord>
      <group>L1_Word</group>
      <groupName>字词问题</groupName>
      <ability>L2_Typo</ability>
      <abilityName>字词错误</abilityName>
      <candidateList>
        <item>制定</item>
      </candidateList>
      <explain/>
      <paraID> 14CA858</paraID>
      <start>4</start>
      <end>6</end>
      <status>modified</status>
      <modifiedWord>制定</modifiedWord>
      <trackRevisions>false</trackRevisions>
    </reviewItem>
    <reviewItem>
      <errorID>cec6cb14-a3ab-4e11-adad-545d12d1ada6</errorID>
      <errorWord>制定计划</errorWord>
      <group>L1_Knowledge</group>
      <groupName>知识性问题</groupName>
      <ability>L2_Knowledge</ability>
      <abilityName>其他知识</abilityName>
      <candidateList>
        <item>制订计划</item>
      </candidateList>
      <explain/>
      <paraID> 14CA858</paraID>
      <start>63</start>
      <end>67</end>
      <status>modified</status>
      <modifiedWord>制订计划</modifiedWord>
      <trackRevisions>false</trackRevisions>
    </reviewItem>
    <reviewItem>
      <errorID>7b7fab44-1a0a-4c09-bd9d-a9c2db262f00</errorID>
      <errorWord>(</errorWord>
      <group>L1_Format</group>
      <groupName>格式问题</groupName>
      <ability>L2_HalfPunc_CN</ability>
      <abilityName>全半角问题</abilityName>
      <candidateList>
        <item>（</item>
      </candidateList>
      <explain>文本全半角错误。</explain>
      <paraID> 14CA858</paraID>
      <start>69</start>
      <end>70</end>
      <status>modified</status>
      <modifiedWord>（</modifiedWord>
      <trackRevisions>false</trackRevisions>
    </reviewItem>
    <reviewItem>
      <errorID>a9965ff1-9a79-402b-8425-fa88abd0c6fb</errorID>
      <errorWord>)</errorWord>
      <group>L1_Format</group>
      <groupName>格式问题</groupName>
      <ability>L2_HalfPunc_CN</ability>
      <abilityName>全半角问题</abilityName>
      <candidateList>
        <item>）</item>
      </candidateList>
      <explain>文本全半角错误。</explain>
      <paraID> 14CA858</paraID>
      <start>73</start>
      <end>74</end>
      <status>modified</status>
      <modifiedWord>）</modifiedWord>
      <trackRevisions>false</trackRevisions>
    </reviewItem>
    <reviewItem>
      <errorID>ead2a27b-08c6-4904-b956-b26aeaba72a1</errorID>
      <errorWord>〔2026〕02号</errorWord>
      <group>L1_Knowledge</group>
      <groupName>知识性问题</groupName>
      <ability>L2_Knowledge</ability>
      <abilityName>其他知识</abilityName>
      <candidateList>
        <item>〔2026〕2号</item>
      </candidateList>
      <explain>发文字号格式错误。</explain>
      <paraID> 14CA858</paraID>
      <start>83</start>
      <end>92</end>
      <status>unmodified</status>
      <modifiedWord/>
      <trackRevisions>false</trackRevisions>
    </reviewItem>
    <reviewItem>
      <errorID>c4954efe-eea9-4401-a7a8-c15400205273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2C973E42</paraID>
      <start>0</start>
      <end>2</end>
      <status>modified</status>
      <modifiedWord>1.</modifiedWord>
      <trackRevisions>false</trackRevisions>
    </reviewItem>
    <reviewItem>
      <errorID>ade6a15d-dce0-47ed-a81f-6bbd4b8c4008</errorID>
      <errorWord>法律、法规</errorWord>
      <group>L1_Word</group>
      <groupName>字词问题</groupName>
      <ability>L2_Typo</ability>
      <abilityName>字词错误</abilityName>
      <candidateList>
        <item>法律法规</item>
      </candidateList>
      <explain/>
      <paraID>6CA9E13D</paraID>
      <start>41</start>
      <end>45</end>
      <status>modified</status>
      <modifiedWord>法律法规</modifiedWord>
      <trackRevisions>false</trackRevisions>
    </reviewItem>
    <reviewItem>
      <errorID>69a43874-a07c-4bcc-8b51-077efb8cb1ff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5D7A558F</paraID>
      <start>0</start>
      <end>2</end>
      <status>modified</status>
      <modifiedWord>2.</modifiedWord>
      <trackRevisions>false</trackRevisions>
    </reviewItem>
    <reviewItem>
      <errorID>74c2982f-8d49-470c-8e37-8f3b0abac354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4B29293E</paraID>
      <start>0</start>
      <end>2</end>
      <status>modified</status>
      <modifiedWord>3.</modifiedWord>
      <trackRevisions>false</trackRevisions>
    </reviewItem>
    <reviewItem>
      <errorID>d2c35c3b-b66d-4a61-b475-bbf7abbb80e6</errorID>
      <errorWord>《石化化工行业单位产品碳排放限额编制导则》（征求意见稿）</errorWord>
      <group>L1_Knowledge</group>
      <groupName>知识性问题</groupName>
      <ability>L2_Knowledge</ability>
      <abilityName>其他知识</abilityName>
      <candidateList>
        <item>《石化化工行业单位产品碳排放限额编制导则（征求意见稿）》</item>
      </candidateList>
      <explain>疑似政策文件、法律法规名称等书写不规范，请注意检查。</explain>
      <paraID>647DBCBC</paraID>
      <start>92</start>
      <end>120</end>
      <status>modified</status>
      <modifiedWord>《石化化工行业单位产品碳排放限额编制导则（征求意见稿）》</modifiedWord>
      <trackRevisions>false</trackRevisions>
    </reviewItem>
    <reviewItem>
      <errorID>2cbfd44d-908a-4c5b-be92-30bae4c04fa8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FCF4EF6</paraID>
      <start>0</start>
      <end>2</end>
      <status>modified</status>
      <modifiedWord>1.</modifiedWord>
      <trackRevisions>false</trackRevisions>
    </reviewItem>
    <reviewItem>
      <errorID>7ae4c0f3-3ad6-4359-9059-37fd8cf69d4e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57385610</paraID>
      <start>0</start>
      <end>2</end>
      <status>modified</status>
      <modifiedWord>2.</modifiedWord>
      <trackRevisions>false</trackRevisions>
    </reviewItem>
    <reviewItem>
      <errorID>6cf80aec-d383-4195-a799-1bfd54574525</errorID>
      <errorWord>在产工艺</errorWord>
      <group>L1_Word</group>
      <groupName>字词问题</groupName>
      <ability>L2_Typo</ability>
      <abilityName>字词错误</abilityName>
      <candidateList>
        <item>在生产工艺</item>
      </candidateList>
      <explain/>
      <paraID> 93E6A30</paraID>
      <start>17</start>
      <end>22</end>
      <status>modified</status>
      <modifiedWord>在生产工艺</modifiedWord>
      <trackRevisions>false</trackRevisions>
    </reviewItem>
    <reviewItem>
      <errorID>adec127b-528b-43c7-9761-4e61e4a3a724</errorID>
      <errorWord>在产工艺</errorWord>
      <group>L1_Word</group>
      <groupName>字词问题</groupName>
      <ability>L2_Typo</ability>
      <abilityName>字词错误</abilityName>
      <candidateList>
        <item>在生产工艺</item>
      </candidateList>
      <explain/>
      <paraID> 93E6A30</paraID>
      <start>67</start>
      <end>72</end>
      <status>modified</status>
      <modifiedWord>在生产工艺</modifiedWord>
      <trackRevisions>false</trackRevisions>
    </reviewItem>
    <reviewItem>
      <errorID>796dbcb7-f04d-4299-9f6d-e60184b6559a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5834103</paraID>
      <start>0</start>
      <end>2</end>
      <status>modified</status>
      <modifiedWord>3.</modifiedWord>
      <trackRevisions>false</trackRevisions>
    </reviewItem>
    <reviewItem>
      <errorID>86d959b4-23a7-4bdc-8bca-7b221c08ba37</errorID>
      <errorWord>、</errorWord>
      <group>L1_Word</group>
      <groupName>字词问题</groupName>
      <ability>L2_Typo</ability>
      <abilityName>字词错误</abilityName>
      <candidateList>
        <item>室、</item>
      </candidateList>
      <explain/>
      <paraID> 9BBB164</paraID>
      <start>59</start>
      <end>61</end>
      <status>modified</status>
      <modifiedWord>室、</modifiedWord>
      <trackRevisions>false</trackRevisions>
    </reviewItem>
    <reviewItem>
      <errorID>6c0594b7-a08b-45b0-a871-ccb7f4d938de</errorID>
      <errorWord>检验</errorWord>
      <group>L1_Word</group>
      <groupName>字词问题</groupName>
      <ability>L2_Typo</ability>
      <abilityName>字词错误</abilityName>
      <candidateList>
        <item>检验室</item>
      </candidateList>
      <explain/>
      <paraID> 9BBB164</paraID>
      <start>63</start>
      <end>66</end>
      <status>modified</status>
      <modifiedWord>检验室</modifiedWord>
      <trackRevisions>false</trackRevisions>
    </reviewItem>
    <reviewItem>
      <errorID>b98aa71f-5b71-475c-bc07-e9b72ef6c5c1</errorID>
      <errorWord>排放</errorWord>
      <group>L1_Punc</group>
      <groupName>标点问题</groupName>
      <ability>L2_Punc_CN</ability>
      <abilityName>标点符号问题</abilityName>
      <candidateList>
        <item>排放。</item>
      </candidateList>
      <explain/>
      <paraID>694576C5</paraID>
      <start>237</start>
      <end>240</end>
      <status>modified</status>
      <modifiedWord>排放。</modifiedWord>
      <trackRevisions>false</trackRevisions>
    </reviewItem>
    <reviewItem>
      <errorID>ee2b4c5a-b388-4ebc-bceb-4594d128665a</errorID>
      <errorWord>,</errorWord>
      <group>L1_Format</group>
      <groupName>格式问题</groupName>
      <ability>L2_HalfPunc_CN</ability>
      <abilityName>全半角问题</abilityName>
      <candidateList>
        <item>，</item>
      </candidateList>
      <explain>文本全半角错误。</explain>
      <paraID>28B24190</paraID>
      <start>17</start>
      <end>18</end>
      <status>modified</status>
      <modifiedWord>，</modifiedWord>
      <trackRevisions>false</trackRevisions>
    </reviewItem>
    <reviewItem>
      <errorID>81bf35d4-7bde-4b74-9000-4c06382493a8</errorID>
      <errorWord>（</errorWord>
      <group>L1_Format</group>
      <groupName>格式问题</groupName>
      <ability>L2_HalfPunc_CN</ability>
      <abilityName>全半角问题</abilityName>
      <candidateList>
        <item>(</item>
      </candidateList>
      <explain>文本全半角错误。</explain>
      <paraID>210A45E8</paraID>
      <start>38</start>
      <end>39</end>
      <status>unmodified</status>
      <modifiedWord/>
      <trackRevisions>false</trackRevisions>
    </reviewItem>
    <reviewItem>
      <errorID>08558874-f594-42cf-887d-46b64bec744e</errorID>
      <errorWord>）</errorWord>
      <group>L1_Format</group>
      <groupName>格式问题</groupName>
      <ability>L2_HalfPunc_CN</ability>
      <abilityName>全半角问题</abilityName>
      <candidateList>
        <item>)</item>
      </candidateList>
      <explain>文本全半角错误。</explain>
      <paraID>210A45E8</paraID>
      <start>40</start>
      <end>41</end>
      <status>unmodified</status>
      <modifiedWord/>
      <trackRevisions>false</trackRevisions>
    </reviewItem>
    <reviewItem>
      <errorID>5673c9e9-d72f-4e64-95e3-731ac1c8065f</errorID>
      <errorWord>（</errorWord>
      <group>L1_Format</group>
      <groupName>格式问题</groupName>
      <ability>L2_HalfPunc_CN</ability>
      <abilityName>全半角问题</abilityName>
      <candidateList>
        <item>(</item>
      </candidateList>
      <explain>文本全半角错误。</explain>
      <paraID>39917240</paraID>
      <start>9</start>
      <end>10</end>
      <status>unmodified</status>
      <modifiedWord/>
      <trackRevisions>false</trackRevisions>
    </reviewItem>
    <reviewItem>
      <errorID>fe6dd8f5-a474-486e-9d74-bbfe440de5bd</errorID>
      <errorWord>）</errorWord>
      <group>L1_Format</group>
      <groupName>格式问题</groupName>
      <ability>L2_HalfPunc_CN</ability>
      <abilityName>全半角问题</abilityName>
      <candidateList>
        <item>)</item>
      </candidateList>
      <explain>文本全半角错误。</explain>
      <paraID>39917240</paraID>
      <start>11</start>
      <end>12</end>
      <status>unmodified</status>
      <modifiedWord/>
      <trackRevisions>false</trackRevisions>
    </reviewItem>
    <reviewItem>
      <errorID>d1285d98-6000-406b-a93c-c934492ad8b0</errorID>
      <errorWord>(</errorWord>
      <group>L1_Format</group>
      <groupName>格式问题</groupName>
      <ability>L2_HalfPunc_CN</ability>
      <abilityName>全半角问题</abilityName>
      <candidateList>
        <item>（</item>
      </candidateList>
      <explain>文本全半角错误。</explain>
      <paraID> 6539D65</paraID>
      <start>37</start>
      <end>38</end>
      <status>unmodified</status>
      <modifiedWord/>
      <trackRevisions>false</trackRevisions>
    </reviewItem>
    <reviewItem>
      <errorID>9e513c24-392e-4e65-95b9-e1797fd19dec</errorID>
      <errorWord>)</errorWord>
      <group>L1_Format</group>
      <groupName>格式问题</groupName>
      <ability>L2_HalfPunc_CN</ability>
      <abilityName>全半角问题</abilityName>
      <candidateList>
        <item>）</item>
      </candidateList>
      <explain>文本全半角错误。</explain>
      <paraID> 6539D65</paraID>
      <start>42</start>
      <end>43</end>
      <status>unmodified</status>
      <modifiedWord/>
      <trackRevisions>false</trackRevisions>
    </reviewItem>
    <reviewItem>
      <errorID>c6ae1e3c-ac52-4679-bb6b-6b17da763030</errorID>
      <errorWord>(</errorWord>
      <group>L1_Format</group>
      <groupName>格式问题</groupName>
      <ability>L2_HalfPunc_CN</ability>
      <abilityName>全半角问题</abilityName>
      <candidateList>
        <item>（</item>
      </candidateList>
      <explain>文本全半角错误。</explain>
      <paraID>63E6B4DE</paraID>
      <start>41</start>
      <end>42</end>
      <status>unmodified</status>
      <modifiedWord/>
      <trackRevisions>false</trackRevisions>
    </reviewItem>
    <reviewItem>
      <errorID>09a34930-53bd-4a6b-b3ac-b8737d481e19</errorID>
      <errorWord>)</errorWord>
      <group>L1_Format</group>
      <groupName>格式问题</groupName>
      <ability>L2_HalfPunc_CN</ability>
      <abilityName>全半角问题</abilityName>
      <candidateList>
        <item>）</item>
      </candidateList>
      <explain>文本全半角错误。</explain>
      <paraID>63E6B4DE</paraID>
      <start>46</start>
      <end>47</end>
      <status>unmodified</status>
      <modifiedWord/>
      <trackRevisions>false</trackRevisions>
    </reviewItem>
    <reviewItem>
      <errorID>4aa4b9c2-da50-4cad-ab52-51f53bb5f7dc</errorID>
      <errorWord>(</errorWord>
      <group>L1_Format</group>
      <groupName>格式问题</groupName>
      <ability>L2_HalfPunc_CN</ability>
      <abilityName>全半角问题</abilityName>
      <candidateList>
        <item>（</item>
      </candidateList>
      <explain>文本全半角错误。</explain>
      <paraID>53171E9B</paraID>
      <start>40</start>
      <end>41</end>
      <status>unmodified</status>
      <modifiedWord/>
      <trackRevisions>false</trackRevisions>
    </reviewItem>
    <reviewItem>
      <errorID>d77789ad-db44-43d9-b4cb-194acd0c0324</errorID>
      <errorWord>)</errorWord>
      <group>L1_Format</group>
      <groupName>格式问题</groupName>
      <ability>L2_HalfPunc_CN</ability>
      <abilityName>全半角问题</abilityName>
      <candidateList>
        <item>）</item>
      </candidateList>
      <explain>文本全半角错误。</explain>
      <paraID>53171E9B</paraID>
      <start>45</start>
      <end>46</end>
      <status>unmodified</status>
      <modifiedWord/>
      <trackRevisions>false</trackRevisions>
    </reviewItem>
    <reviewItem>
      <errorID>22479ec1-c3a7-4101-8b5e-dfe562ebaf51</errorID>
      <errorWord>(</errorWord>
      <group>L1_Format</group>
      <groupName>格式问题</groupName>
      <ability>L2_HalfPunc_CN</ability>
      <abilityName>全半角问题</abilityName>
      <candidateList>
        <item>（</item>
      </candidateList>
      <explain>文本全半角错误。</explain>
      <paraID>35100CA4</paraID>
      <start>40</start>
      <end>41</end>
      <status>unmodified</status>
      <modifiedWord/>
      <trackRevisions>false</trackRevisions>
    </reviewItem>
    <reviewItem>
      <errorID>34d9ddb3-e1bc-4169-84c6-6f0bb7a5e564</errorID>
      <errorWord>)</errorWord>
      <group>L1_Format</group>
      <groupName>格式问题</groupName>
      <ability>L2_HalfPunc_CN</ability>
      <abilityName>全半角问题</abilityName>
      <candidateList>
        <item>）</item>
      </candidateList>
      <explain>文本全半角错误。</explain>
      <paraID>35100CA4</paraID>
      <start>45</start>
      <end>46</end>
      <status>unmodified</status>
      <modifiedWord/>
      <trackRevisions>false</trackRevisions>
    </reviewItem>
    <reviewItem>
      <errorID>f8fe530b-5a4d-4ab7-9060-adf4ef2555f7</errorID>
      <errorWord>(</errorWord>
      <group>L1_Format</group>
      <groupName>格式问题</groupName>
      <ability>L2_HalfPunc_CN</ability>
      <abilityName>全半角问题</abilityName>
      <candidateList>
        <item>（</item>
      </candidateList>
      <explain>文本全半角错误。</explain>
      <paraID>7DEF48FA</paraID>
      <start>40</start>
      <end>41</end>
      <status>unmodified</status>
      <modifiedWord/>
      <trackRevisions>false</trackRevisions>
    </reviewItem>
    <reviewItem>
      <errorID>b295cb47-d18d-43e9-ab3b-b326683dcdab</errorID>
      <errorWord>)</errorWord>
      <group>L1_Format</group>
      <groupName>格式问题</groupName>
      <ability>L2_HalfPunc_CN</ability>
      <abilityName>全半角问题</abilityName>
      <candidateList>
        <item>）</item>
      </candidateList>
      <explain>文本全半角错误。</explain>
      <paraID>7DEF48FA</paraID>
      <start>45</start>
      <end>46</end>
      <status>unmodified</status>
      <modifiedWord/>
      <trackRevisions>false</trackRevisions>
    </reviewItem>
    <reviewItem>
      <errorID>7679e8e2-d512-418c-b694-be696f4c611f</errorID>
      <errorWord>(</errorWord>
      <group>L1_Format</group>
      <groupName>格式问题</groupName>
      <ability>L2_HalfPunc_CN</ability>
      <abilityName>全半角问题</abilityName>
      <candidateList>
        <item>（</item>
      </candidateList>
      <explain>文本全半角错误。</explain>
      <paraID>6C462AD4</paraID>
      <start>40</start>
      <end>41</end>
      <status>unmodified</status>
      <modifiedWord/>
      <trackRevisions>false</trackRevisions>
    </reviewItem>
    <reviewItem>
      <errorID>1c602428-dcf5-40df-bd0b-82a13a49269e</errorID>
      <errorWord>)</errorWord>
      <group>L1_Format</group>
      <groupName>格式问题</groupName>
      <ability>L2_HalfPunc_CN</ability>
      <abilityName>全半角问题</abilityName>
      <candidateList>
        <item>）</item>
      </candidateList>
      <explain>文本全半角错误。</explain>
      <paraID>6C462AD4</paraID>
      <start>45</start>
      <end>46</end>
      <status>unmodified</status>
      <modifiedWord/>
      <trackRevisions>false</trackRevisions>
    </reviewItem>
    <reviewItem>
      <errorID>17553890-7fa7-49a3-9132-4eec15981f8b</errorID>
      <errorWord>（</errorWord>
      <group>L1_Format</group>
      <groupName>格式问题</groupName>
      <ability>L2_HalfPunc_CN</ability>
      <abilityName>全半角问题</abilityName>
      <candidateList>
        <item>(</item>
      </candidateList>
      <explain>文本全半角错误。</explain>
      <paraID>6B384750</paraID>
      <start>23</start>
      <end>24</end>
      <status>unmodified</status>
      <modifiedWord/>
      <trackRevisions>false</trackRevisions>
    </reviewItem>
    <reviewItem>
      <errorID>e927ce9d-7221-430d-be2c-3151e422b9db</errorID>
      <errorWord>）</errorWord>
      <group>L1_Format</group>
      <groupName>格式问题</groupName>
      <ability>L2_HalfPunc_CN</ability>
      <abilityName>全半角问题</abilityName>
      <candidateList>
        <item>)</item>
      </candidateList>
      <explain>文本全半角错误。</explain>
      <paraID>6B384750</paraID>
      <start>25</start>
      <end>26</end>
      <status>unmodified</status>
      <modifiedWord/>
      <trackRevisions>false</trackRevisions>
    </reviewItem>
    <reviewItem>
      <errorID>db85eaec-c59a-46e6-832e-6754d124cc7c</errorID>
      <errorWord>（</errorWord>
      <group>L1_Format</group>
      <groupName>格式问题</groupName>
      <ability>L2_HalfPunc_CN</ability>
      <abilityName>全半角问题</abilityName>
      <candidateList>
        <item>(</item>
      </candidateList>
      <explain>文本全半角错误。</explain>
      <paraID>46DCB09B</paraID>
      <start>30</start>
      <end>31</end>
      <status>unmodified</status>
      <modifiedWord/>
      <trackRevisions>false</trackRevisions>
    </reviewItem>
    <reviewItem>
      <errorID>56338c22-e7d1-4414-ad74-c39f9f37c343</errorID>
      <errorWord>）</errorWord>
      <group>L1_Format</group>
      <groupName>格式问题</groupName>
      <ability>L2_HalfPunc_CN</ability>
      <abilityName>全半角问题</abilityName>
      <candidateList>
        <item>)</item>
      </candidateList>
      <explain>文本全半角错误。</explain>
      <paraID>46DCB09B</paraID>
      <start>32</start>
      <end>33</end>
      <status>unmodified</status>
      <modifiedWord/>
      <trackRevisions>false</trackRevisions>
    </reviewItem>
    <reviewItem>
      <errorID>4d50bc7f-6a29-4824-a21e-0653b376ffca</errorID>
      <errorWord>(</errorWord>
      <group>L1_Format</group>
      <groupName>格式问题</groupName>
      <ability>L2_HalfPunc_CN</ability>
      <abilityName>全半角问题</abilityName>
      <candidateList>
        <item>（</item>
      </candidateList>
      <explain>文本全半角错误。</explain>
      <paraID>6092CD2B</paraID>
      <start>48</start>
      <end>49</end>
      <status>unmodified</status>
      <modifiedWord/>
      <trackRevisions>false</trackRevisions>
    </reviewItem>
    <reviewItem>
      <errorID>26b2c9ff-10f1-4bbb-ac3a-8431b867d291</errorID>
      <errorWord>)</errorWord>
      <group>L1_Format</group>
      <groupName>格式问题</groupName>
      <ability>L2_HalfPunc_CN</ability>
      <abilityName>全半角问题</abilityName>
      <candidateList>
        <item>）</item>
      </candidateList>
      <explain>文本全半角错误。</explain>
      <paraID>6092CD2B</paraID>
      <start>53</start>
      <end>54</end>
      <status>unmodified</status>
      <modifiedWord/>
      <trackRevisions>false</trackRevisions>
    </reviewItem>
    <reviewItem>
      <errorID>46f515f8-a364-4ec8-a78e-405b162a1a9b</errorID>
      <errorWord>程</errorWord>
      <group>L1_Word</group>
      <groupName>字词问题</groupName>
      <ability>L2_Typo</ability>
      <abilityName>字词错误</abilityName>
      <candidateList>
        <item>程中</item>
      </candidateList>
      <explain/>
      <paraID>278E51B9</paraID>
      <start>44</start>
      <end>46</end>
      <status>modified</status>
      <modifiedWord>程中</modifiedWord>
      <trackRevisions>false</trackRevisions>
    </reviewItem>
    <reviewItem>
      <errorID>ec6e519e-5b6a-416e-bf3b-3645a78cb1b1</errorID>
      <errorWord>）</errorWord>
      <group>L1_Punc</group>
      <groupName>标点问题</groupName>
      <ability>L2_Punc_CN</ability>
      <abilityName>标点符号问题</abilityName>
      <candidateList>
        <item>）。</item>
      </candidateList>
      <explain/>
      <paraID>31834F82</paraID>
      <start>53</start>
      <end>54</end>
      <status>unmodified</status>
      <modifiedWord/>
      <trackRevisions>false</trackRevisions>
    </reviewItem>
    <reviewItem>
      <errorID>780d0cf3-7af3-42eb-a35f-f0d5c98b79c0</errorID>
      <errorWord>标</errorWord>
      <group>L1_Word</group>
      <groupName>字词问题</groupName>
      <ability>L2_Typo</ability>
      <abilityName>字词错误</abilityName>
      <candidateList>
        <item>标准</item>
      </candidateList>
      <explain/>
      <paraID>31834F82</paraID>
      <start>66</start>
      <end>67</end>
      <status>unmodified</status>
      <modifiedWord/>
      <trackRevisions>false</trackRevisions>
    </reviewItem>
    <reviewItem>
      <errorID>7a6251af-9557-4b62-bf29-714175ceb494</errorID>
      <errorWord>(</errorWord>
      <group>L1_Format</group>
      <groupName>格式问题</groupName>
      <ability>L2_HalfPunc_CN</ability>
      <abilityName>全半角问题</abilityName>
      <candidateList>
        <item>（</item>
      </candidateList>
      <explain>文本全半角错误。</explain>
      <paraID> FB3A78E</paraID>
      <start>42</start>
      <end>43</end>
      <status>unmodified</status>
      <modifiedWord/>
      <trackRevisions>false</trackRevisions>
    </reviewItem>
    <reviewItem>
      <errorID>84f8e0e8-2139-42b1-aecd-7707014411c9</errorID>
      <errorWord>)</errorWord>
      <group>L1_Format</group>
      <groupName>格式问题</groupName>
      <ability>L2_HalfPunc_CN</ability>
      <abilityName>全半角问题</abilityName>
      <candidateList>
        <item>）</item>
      </candidateList>
      <explain>文本全半角错误。</explain>
      <paraID> FB3A78E</paraID>
      <start>47</start>
      <end>48</end>
      <status>unmodified</status>
      <modifiedWord/>
      <trackRevisions>false</trackRevisions>
    </reviewItem>
    <reviewItem>
      <errorID>8299ef09-2d9a-4183-a9ad-7d1269e5e37e</errorID>
      <errorWord>(</errorWord>
      <group>L1_Format</group>
      <groupName>格式问题</groupName>
      <ability>L2_HalfPunc_CN</ability>
      <abilityName>全半角问题</abilityName>
      <candidateList>
        <item>（</item>
      </candidateList>
      <explain>文本全半角错误。</explain>
      <paraID>152EAA35</paraID>
      <start>42</start>
      <end>43</end>
      <status>unmodified</status>
      <modifiedWord/>
      <trackRevisions>false</trackRevisions>
    </reviewItem>
    <reviewItem>
      <errorID>a2cd95fd-cc8c-4704-a605-e9aa9fd9b4d1</errorID>
      <errorWord>)</errorWord>
      <group>L1_Format</group>
      <groupName>格式问题</groupName>
      <ability>L2_HalfPunc_CN</ability>
      <abilityName>全半角问题</abilityName>
      <candidateList>
        <item>）</item>
      </candidateList>
      <explain>文本全半角错误。</explain>
      <paraID>152EAA35</paraID>
      <start>47</start>
      <end>48</end>
      <status>unmodified</status>
      <modifiedWord/>
      <trackRevisions>false</trackRevisions>
    </reviewItem>
    <reviewItem>
      <errorID>ab21eb9f-70a2-4133-a304-dcc1efcb8cd0</errorID>
      <errorWord>兆瓦时</errorWord>
      <group>L1_Word</group>
      <groupName>字词问题</groupName>
      <ability>L2_Typo</ability>
      <abilityName>字词错误</abilityName>
      <candidateList>
        <item>吉焦</item>
      </candidateList>
      <explain/>
      <paraID>66D2ED48</paraID>
      <start>29</start>
      <end>31</end>
      <status>modified</status>
      <modifiedWord>吉焦</modifiedWord>
      <trackRevisions>false</trackRevisions>
    </reviewItem>
    <reviewItem>
      <errorID>4d440f58-c176-46f1-8dbb-05e6e9c0fb65</errorID>
      <errorWord>(</errorWord>
      <group>L1_Format</group>
      <groupName>格式问题</groupName>
      <ability>L2_HalfPunc_CN</ability>
      <abilityName>全半角问题</abilityName>
      <candidateList>
        <item>（</item>
      </candidateList>
      <explain>文本全半角错误。</explain>
      <paraID>5415A1A8</paraID>
      <start>42</start>
      <end>43</end>
      <status>unmodified</status>
      <modifiedWord/>
      <trackRevisions>false</trackRevisions>
    </reviewItem>
    <reviewItem>
      <errorID>2a8d93fb-cdac-49b9-bee3-0bf30fb905ac</errorID>
      <errorWord>)</errorWord>
      <group>L1_Format</group>
      <groupName>格式问题</groupName>
      <ability>L2_HalfPunc_CN</ability>
      <abilityName>全半角问题</abilityName>
      <candidateList>
        <item>）</item>
      </candidateList>
      <explain>文本全半角错误。</explain>
      <paraID>5415A1A8</paraID>
      <start>47</start>
      <end>48</end>
      <status>unmodified</status>
      <modifiedWord/>
      <trackRevisions>false</trackRevisions>
    </reviewItem>
    <reviewItem>
      <errorID>547f4223-23fc-4a9f-8c17-7e17fd2c7491</errorID>
      <errorWord>(</errorWord>
      <group>L1_Format</group>
      <groupName>格式问题</groupName>
      <ability>L2_HalfPunc_CN</ability>
      <abilityName>全半角问题</abilityName>
      <candidateList>
        <item>（</item>
      </candidateList>
      <explain>文本全半角错误。</explain>
      <paraID>1B081C17</paraID>
      <start>42</start>
      <end>43</end>
      <status>unmodified</status>
      <modifiedWord/>
      <trackRevisions>false</trackRevisions>
    </reviewItem>
    <reviewItem>
      <errorID>ca896fae-342c-40c8-8bf9-f143ad6fcd22</errorID>
      <errorWord>)</errorWord>
      <group>L1_Format</group>
      <groupName>格式问题</groupName>
      <ability>L2_HalfPunc_CN</ability>
      <abilityName>全半角问题</abilityName>
      <candidateList>
        <item>）</item>
      </candidateList>
      <explain>文本全半角错误。</explain>
      <paraID>1B081C17</paraID>
      <start>47</start>
      <end>48</end>
      <status>unmodified</status>
      <modifiedWord/>
      <trackRevisions>false</trackRevisions>
    </reviewItem>
    <reviewItem>
      <errorID>46cdf77d-6cff-4793-948d-4753ef645204</errorID>
      <errorWord>（</errorWord>
      <group>L1_Format</group>
      <groupName>格式问题</groupName>
      <ability>L2_HalfPunc_CN</ability>
      <abilityName>全半角问题</abilityName>
      <candidateList>
        <item>(</item>
      </candidateList>
      <explain>文本全半角错误。</explain>
      <paraID>7BC9F8E7</paraID>
      <start>27</start>
      <end>28</end>
      <status>unmodified</status>
      <modifiedWord/>
      <trackRevisions>false</trackRevisions>
    </reviewItem>
    <reviewItem>
      <errorID>e4102037-c1fe-4af7-897d-9c458665c36d</errorID>
      <errorWord>）</errorWord>
      <group>L1_Format</group>
      <groupName>格式问题</groupName>
      <ability>L2_HalfPunc_CN</ability>
      <abilityName>全半角问题</abilityName>
      <candidateList>
        <item>)</item>
      </candidateList>
      <explain>文本全半角错误。</explain>
      <paraID>7BC9F8E7</paraID>
      <start>30</start>
      <end>31</end>
      <status>unmodified</status>
      <modifiedWord/>
      <trackRevisions>false</trackRevisions>
    </reviewItem>
    <reviewItem>
      <errorID>345d6e6a-9878-4c52-8c7c-5fba27fe0a50</errorID>
      <errorWord>(</errorWord>
      <group>L1_Format</group>
      <groupName>格式问题</groupName>
      <ability>L2_HalfPunc_CN</ability>
      <abilityName>全半角问题</abilityName>
      <candidateList>
        <item>（</item>
      </candidateList>
      <explain>文本全半角错误。</explain>
      <paraID>30CCA173</paraID>
      <start>37</start>
      <end>38</end>
      <status>unmodified</status>
      <modifiedWord/>
      <trackRevisions>false</trackRevisions>
    </reviewItem>
    <reviewItem>
      <errorID>1747dc8d-295c-4261-8884-62dec915d634</errorID>
      <errorWord>)</errorWord>
      <group>L1_Format</group>
      <groupName>格式问题</groupName>
      <ability>L2_HalfPunc_CN</ability>
      <abilityName>全半角问题</abilityName>
      <candidateList>
        <item>）</item>
      </candidateList>
      <explain>文本全半角错误。</explain>
      <paraID>30CCA173</paraID>
      <start>42</start>
      <end>43</end>
      <status>unmodified</status>
      <modifiedWord/>
      <trackRevisions>false</trackRevisions>
    </reviewItem>
    <reviewItem>
      <errorID>225e7471-07ac-4fda-94a4-eedc85cf8d4e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B29F90B</paraID>
      <start>0</start>
      <end>2</end>
      <status>unmodified</status>
      <modifiedWord/>
      <trackRevisions>false</trackRevisions>
    </reviewItem>
    <reviewItem>
      <errorID>66328106-eb21-4ff3-8017-9638d59d99c0</errorID>
      <errorWord>《石化化工行业单位产品碳排放限额编制导则》（征求意见稿）</errorWord>
      <group>L1_Knowledge</group>
      <groupName>知识性问题</groupName>
      <ability>L2_Knowledge</ability>
      <abilityName>其他知识</abilityName>
      <candidateList>
        <item>《石化化工行业单位产品碳排放限额编制导则（征求意见稿）》</item>
      </candidateList>
      <explain>疑似政策文件、法律法规名称等书写不规范，请注意检查。</explain>
      <paraID> 6EADFDC</paraID>
      <start>44</start>
      <end>72</end>
      <status>modified</status>
      <modifiedWord>《石化化工行业单位产品碳排放限额编制导则（征求意见稿）》</modifiedWord>
      <trackRevisions>false</trackRevisions>
    </reviewItem>
    <reviewItem>
      <errorID>75bf0484-9e42-4e09-b6b2-684960aa3eb4</errorID>
      <errorWord>等的</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 6EADFDC</paraID>
      <start>185</start>
      <end>186</end>
      <status>modified</status>
      <modifiedWord>等</modifiedWord>
      <trackRevisions>false</trackRevisions>
    </reviewItem>
    <reviewItem>
      <errorID>8e24f0f3-5ea4-4204-aabc-a306eb24c4c5</errorID>
      <errorWord> </errorWord>
      <group>L1_Grammar</group>
      <groupName>语法问题</groupName>
      <ability>L2_Grammar</ability>
      <abilityName>语法错误</abilityName>
      <candidateList>
        <item>/T </item>
      </candidateList>
      <explain/>
      <paraID>260727BE</paraID>
      <start>21</start>
      <end>24</end>
      <status>modified</status>
      <modifiedWord>/T </modifiedWord>
      <trackRevisions>false</trackRevisions>
    </reviewItem>
    <reviewItem>
      <errorID>ff9db35a-af81-4a12-b947-68257719abed</errorID>
      <errorWord>：</errorWord>
      <group>L1_Punc</group>
      <groupName>标点问题</groupName>
      <ability>L2_Punc_CN</ability>
      <abilityName>标点符号问题</abilityName>
      <candidateList>
        <item>，</item>
      </candidateList>
      <explain/>
      <paraID>260727BE</paraID>
      <start>107</start>
      <end>108</end>
      <status>modified</status>
      <modifiedWord>，</modifiedWord>
      <trackRevisions>false</trackRevisions>
    </reviewItem>
    <reviewItem>
      <errorID>43df0288-bb35-43a3-8d7c-cb35f51ca906</errorID>
      <errorWord>能效</errorWord>
      <group>L1_Word</group>
      <groupName>字词问题</groupName>
      <ability>L2_Typo</ability>
      <abilityName>字词错误</abilityName>
      <candidateList>
        <item>的能效</item>
      </candidateList>
      <explain/>
      <paraID>5DEAD0C2</paraID>
      <start>74</start>
      <end>76</end>
      <status>unmodified</status>
      <modifiedWord/>
      <trackRevisions>false</trackRevisions>
    </reviewItem>
    <reviewItem>
      <errorID>a118c066-a5a5-4b15-be30-e00ffae18224</errorID>
      <errorWord>为</errorWord>
      <group>L1_Word</group>
      <groupName>字词问题</groupName>
      <ability>L2_Typo</ability>
      <abilityName>字词错误</abilityName>
      <candidateList>
        <item>作为</item>
      </candidateList>
      <explain/>
      <paraID>5DEAD0C2</paraID>
      <start>97</start>
      <end>98</end>
      <status>unmodified</status>
      <modifiedWord/>
      <trackRevisions>false</trackRevisions>
    </reviewItem>
    <reviewItem>
      <errorID>a420366f-06bf-4d9b-a8bc-cd3755d0973a</errorID>
      <errorWord>国内</errorWord>
      <group>L1_Word</group>
      <groupName>字词问题</groupName>
      <ability>L2_Typo</ability>
      <abilityName>字词错误</abilityName>
      <candidateList>
        <item>的国内</item>
      </candidateList>
      <explain/>
      <paraID>21AFD7EC</paraID>
      <start>95</start>
      <end>97</end>
      <status>unmodified</status>
      <modifiedWord/>
      <trackRevisions>false</trackRevisions>
    </reviewItem>
    <reviewItem>
      <errorID>dce61a77-8422-45c0-ae20-3fcdaba9a873</errorID>
      <errorWord>为</errorWord>
      <group>L1_Word</group>
      <groupName>字词问题</groupName>
      <ability>L2_Typo</ability>
      <abilityName>字词错误</abilityName>
      <candidateList>
        <item>作为</item>
      </candidateList>
      <explain/>
      <paraID>21AFD7EC</paraID>
      <start>103</start>
      <end>104</end>
      <status>unmodified</status>
      <modifiedWord/>
      <trackRevisions>false</trackRevisions>
    </reviewItem>
    <reviewItem>
      <errorID>22c8b0e1-d9f1-49dc-9806-2259acfe6401</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3646A4D6</paraID>
      <start>0</start>
      <end>2</end>
      <status>unmodified</status>
      <modifiedWord/>
      <trackRevisions>false</trackRevisions>
    </reviewItem>
    <reviewItem>
      <errorID>a9444dd0-3118-4f32-80df-b0b57fa2b617</errorID>
      <errorWord>选取以</errorWord>
      <group>L1_Word</group>
      <groupName>字词问题</groupName>
      <ability>L2_Typo</ability>
      <abilityName>字词错误</abilityName>
      <candidateList>
        <item>选取</item>
      </candidateList>
      <explain/>
      <paraID>3646A4D6</paraID>
      <start>10</start>
      <end>12</end>
      <status>modified</status>
      <modifiedWord>选取</modifiedWord>
      <trackRevisions>false</trackRevisions>
    </reviewItem>
    <reviewItem>
      <errorID>a9d7f7a7-2900-4d7f-ad68-f0beb6be6de5</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4227E3CE</paraID>
      <start>0</start>
      <end>2</end>
      <status>unmodified</status>
      <modifiedWord/>
      <trackRevisions>false</trackRevisions>
    </reviewItem>
    <reviewItem>
      <errorID>5589ad25-17fc-4aca-954e-a1ecf201f9c2</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6E964223</paraID>
      <start>0</start>
      <end>2</end>
      <status>unmodified</status>
      <modifiedWord/>
      <trackRevisions>false</trackRevisions>
    </reviewItem>
    <reviewItem>
      <errorID>a6dc27fc-4457-4d21-ba24-699d674fce64</errorID>
      <errorWord>选取以</errorWord>
      <group>L1_Word</group>
      <groupName>字词问题</groupName>
      <ability>L2_Typo</ability>
      <abilityName>字词错误</abilityName>
      <candidateList>
        <item>选取</item>
      </candidateList>
      <explain/>
      <paraID>6E964223</paraID>
      <start>10</start>
      <end>12</end>
      <status>modified</status>
      <modifiedWord>选取</modifiedWord>
      <trackRevisions>false</trackRevisions>
    </reviewItem>
    <reviewItem>
      <errorID>07894cd1-2211-4aa1-8d7e-37b7b645c6e7</errorID>
      <errorWord>以</errorWord>
      <group>L1_Word</group>
      <groupName>字词问题</groupName>
      <ability>L2_Typo</ability>
      <abilityName>字词错误</abilityName>
      <candidateList>
        <item>遵循</item>
      </candidateList>
      <explain/>
      <paraID>1A0A5F0F</paraID>
      <start>9</start>
      <end>11</end>
      <status>modified</status>
      <modifiedWord>遵循</modifiedWord>
      <trackRevisions>false</trackRevisions>
    </reviewItem>
    <reviewItem>
      <errorID>10405130-8ae0-44b6-96ed-6d7d896f3f73</errorID>
      <errorWord>专家</errorWord>
      <group>L1_Grammar</group>
      <groupName>语法问题</groupName>
      <ability>L2_Grammar</ability>
      <abilityName>语法错误</abilityName>
      <candidateList>
        <item>参考专家</item>
      </candidateList>
      <explain/>
      <paraID>1A0A5F0F</paraID>
      <start>47</start>
      <end>51</end>
      <status>modified</status>
      <modifiedWord>参考专家</modifiedWord>
      <trackRevisions>false</trackRevisions>
    </reviewItem>
    <reviewItem>
      <errorID>27432763-c6ae-4f34-9a06-509448eb7420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483D4AB3</paraID>
      <start>0</start>
      <end>2</end>
      <status>modified</status>
      <modifiedWord>5.</modifiedWord>
      <trackRevisions>false</trackRevisions>
    </reviewItem>
    <reviewItem>
      <errorID>b64b2d72-0fa2-4dee-8eae-eff00f8216e3</errorID>
      <errorWord>组</errorWord>
      <group>L1_Word</group>
      <groupName>字词问题</groupName>
      <ability>L2_Typo</ability>
      <abilityName>字词错误</abilityName>
      <candidateList>
        <item>组在</item>
      </candidateList>
      <explain/>
      <paraID> A7A14A1</paraID>
      <start>4</start>
      <end>6</end>
      <status>modified</status>
      <modifiedWord>组在</modifiedWord>
      <trackRevisions>false</trackRevisions>
    </reviewItem>
    <reviewItem>
      <errorID>29684f4c-5536-4426-92f6-1a60efa3280b</errorID>
      <errorWord>。以</errorWord>
      <group>L1_Word</group>
      <groupName>字词问题</groupName>
      <ability>L2_Typo</ability>
      <abilityName>字词错误</abilityName>
      <candidateList>
        <item>，</item>
      </candidateList>
      <explain/>
      <paraID> A7A14A1</paraID>
      <start>82</start>
      <end>83</end>
      <status>modified</status>
      <modifiedWord>，</modifiedWord>
      <trackRevisions>false</trackRevisions>
    </reviewItem>
    <reviewItem>
      <errorID>037645fa-7f90-43cd-b1b1-a598378c4bbf</errorID>
      <errorWord>为</errorWord>
      <group>L1_Word</group>
      <groupName>字词问题</groupName>
      <ability>L2_Typo</ability>
      <abilityName>字词错误</abilityName>
      <candidateList>
        <item>的</item>
      </candidateList>
      <explain/>
      <paraID> A7A14A1</paraID>
      <start>113</start>
      <end>114</end>
      <status>unmodified</status>
      <modifiedWord/>
      <trackRevisions>false</trackRevisions>
    </reviewItem>
    <reviewItem>
      <errorID>9ee968d0-6f50-42db-9773-7f04f76897c2</errorID>
      <errorWord>组</errorWord>
      <group>L1_Word</group>
      <groupName>字词问题</groupName>
      <ability>L2_Typo</ability>
      <abilityName>字词错误</abilityName>
      <candidateList>
        <item>组在</item>
      </candidateList>
      <explain/>
      <paraID>65FFC398</paraID>
      <start>4</start>
      <end>6</end>
      <status>modified</status>
      <modifiedWord>组在</modifiedWord>
      <trackRevisions>false</trackRevisions>
    </reviewItem>
    <reviewItem>
      <errorID>573ddea1-747e-4a24-9a16-58bdb237b4d1</errorID>
      <errorWord>以</errorWord>
      <group>L1_Word</group>
      <groupName>字词问题</groupName>
      <ability>L2_Typo</ability>
      <abilityName>字词错误</abilityName>
      <candidateList>
        <item>遵循</item>
      </candidateList>
      <explain/>
      <paraID>65FFC398</paraID>
      <start>12</start>
      <end>14</end>
      <status>modified</status>
      <modifiedWord>遵循</modifiedWord>
      <trackRevisions>false</trackRevisions>
    </reviewItem>
    <reviewItem>
      <errorID>d1fdbd35-5c90-42ff-a860-fd81e62e0704</errorID>
      <errorWord>。以</errorWord>
      <group>L1_Word</group>
      <groupName>字词问题</groupName>
      <ability>L2_Typo</ability>
      <abilityName>字词错误</abilityName>
      <candidateList>
        <item>，</item>
      </candidateList>
      <explain/>
      <paraID>65FFC398</paraID>
      <start>83</start>
      <end>84</end>
      <status>modified</status>
      <modifiedWord>，</modifiedWord>
      <trackRevisions>false</trackRevisions>
    </reviewItem>
    <reviewItem>
      <errorID>83b29000-01fb-4202-ac86-512574ce1724</errorID>
      <errorWord>为</errorWord>
      <group>L1_Word</group>
      <groupName>字词问题</groupName>
      <ability>L2_Typo</ability>
      <abilityName>字词错误</abilityName>
      <candidateList>
        <item>的</item>
      </candidateList>
      <explain/>
      <paraID>65FFC398</paraID>
      <start>114</start>
      <end>115</end>
      <status>unmodified</status>
      <modifiedWord/>
      <trackRevisions>false</trackRevisions>
    </reviewItem>
    <reviewItem>
      <errorID>a5a7b4ee-7b80-4278-b8ba-3984f3ae7d41</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6066F06B</paraID>
      <start>0</start>
      <end>2</end>
      <status>modified</status>
      <modifiedWord>6.</modifiedWord>
      <trackRevisions>false</trackRevisions>
    </reviewItem>
    <reviewItem>
      <errorID>ed59c65b-119b-4383-81cc-8dbfcfb3fa34</errorID>
      <errorWord>,</errorWord>
      <group>L1_Format</group>
      <groupName>格式问题</groupName>
      <ability>L2_HalfPunc_CN</ability>
      <abilityName>全半角问题</abilityName>
      <candidateList>
        <item>，</item>
      </candidateList>
      <explain>文本全半角错误。</explain>
      <paraID>7CA6E6F8</paraID>
      <start>18</start>
      <end>19</end>
      <status>modified</status>
      <modifiedWord>，</modifiedWord>
      <trackRevisions>false</trackRevisions>
    </reviewItem>
    <reviewItem>
      <errorID>18923872-2701-452b-aa36-e65e4aa6bb17</errorID>
      <errorWord>,</errorWord>
      <group>L1_Format</group>
      <groupName>格式问题</groupName>
      <ability>L2_HalfPunc_CN</ability>
      <abilityName>全半角问题</abilityName>
      <candidateList>
        <item>，</item>
      </candidateList>
      <explain>文本全半角错误。</explain>
      <paraID>56BE410B</paraID>
      <start>23</start>
      <end>24</end>
      <status>modified</status>
      <modifiedWord>，</modifiedWord>
      <trackRevisions>false</trackRevisions>
    </reviewItem>
    <reviewItem>
      <errorID>6f2a1463-15b1-464c-9068-808d9634f4cf</errorID>
      <errorWord>,</errorWord>
      <group>L1_Format</group>
      <groupName>格式问题</groupName>
      <ability>L2_HalfPunc_CN</ability>
      <abilityName>全半角问题</abilityName>
      <candidateList>
        <item>，</item>
      </candidateList>
      <explain>文本全半角错误。</explain>
      <paraID>56BE410B</paraID>
      <start>134</start>
      <end>135</end>
      <status>modified</status>
      <modifiedWord>，</modifiedWord>
      <trackRevisions>false</trackRevisions>
    </reviewItem>
    <reviewItem>
      <errorID>75cfdefe-8d76-433f-8244-a5179638d21a</errorID>
      <errorWord>,</errorWord>
      <group>L1_Format</group>
      <groupName>格式问题</groupName>
      <ability>L2_HalfPunc_CN</ability>
      <abilityName>全半角问题</abilityName>
      <candidateList>
        <item>，</item>
      </candidateList>
      <explain>文本全半角错误。</explain>
      <paraID>56BE410B</paraID>
      <start>147</start>
      <end>148</end>
      <status>modified</status>
      <modifiedWord>，</modifiedWord>
      <trackRevisions>false</trackRevisions>
    </reviewItem>
    <reviewItem>
      <errorID>30eea363-5a24-48aa-ad2a-4bd58fbf4710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3A534F7A</paraID>
      <start>0</start>
      <end>2</end>
      <status>modified</status>
      <modifiedWord>7.</modifiedWord>
      <trackRevisions>false</trackRevisions>
    </reviewItem>
    <reviewItem>
      <errorID>f42b7ce9-7d1f-49da-975a-8daa03c32319</errorID>
      <errorWord>好</errorWord>
      <group>L1_Word</group>
      <groupName>字词问题</groupName>
      <ability>L2_Typo</ability>
      <abilityName>字词错误</abilityName>
      <candidateList>
        <item>好地</item>
      </candidateList>
      <explain/>
      <paraID>1E89CAD6</paraID>
      <start>2</start>
      <end>4</end>
      <status>modified</status>
      <modifiedWord>好地</modifiedWord>
      <trackRevisions>false</trackRevisions>
    </reviewItem>
    <reviewItem>
      <errorID>d0ca6e7a-3466-4b4e-bf6d-e6df0af83a97</errorID>
      <errorWord>法律、法规</errorWord>
      <group>L1_Word</group>
      <groupName>字词问题</groupName>
      <ability>L2_Typo</ability>
      <abilityName>字词错误</abilityName>
      <candidateList>
        <item>法律法规</item>
      </candidateList>
      <explain/>
      <paraID>72C8395D</paraID>
      <start>5</start>
      <end>9</end>
      <status>modified</status>
      <modifiedWord>法律法规</modifiedWord>
      <trackRevisions>false</trackRevisions>
    </reviewItem>
    <reviewItem>
      <errorID>97dac06b-5054-4d0e-820f-8d4a4dc633cf</errorID>
      <errorWord>法律、法规</errorWord>
      <group>L1_Word</group>
      <groupName>字词问题</groupName>
      <ability>L2_Typo</ability>
      <abilityName>字词错误</abilityName>
      <candidateList>
        <item>法律法规</item>
      </candidateList>
      <explain/>
      <paraID>71308583</paraID>
      <start>24</start>
      <end>28</end>
      <status>modified</status>
      <modifiedWord>法律法规</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5c49a5-2a48-41d4-8ef6-a54fdb25968e}">
  <ds:schemaRefs/>
</ds:datastoreItem>
</file>

<file path=docProps/app.xml><?xml version="1.0" encoding="utf-8"?>
<Properties xmlns="http://schemas.openxmlformats.org/officeDocument/2006/extended-properties" xmlns:vt="http://schemas.openxmlformats.org/officeDocument/2006/docPropsVTypes">
  <Template>Normal.dotm</Template>
  <Pages>25</Pages>
  <Words>9505</Words>
  <Characters>10141</Characters>
  <Lines>0</Lines>
  <Paragraphs>0</Paragraphs>
  <TotalTime>3</TotalTime>
  <ScaleCrop>false</ScaleCrop>
  <LinksUpToDate>false</LinksUpToDate>
  <CharactersWithSpaces>10333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2023-11-05T13:14:00Z</dcterms:created>
  <dc:creator>沈龙</dc:creator>
  <cp:lastModifiedBy>周子填</cp:lastModifiedBy>
  <dcterms:modified xsi:type="dcterms:W3CDTF">2026-08-04T02:16:05Z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23CA85EA265C49938B406D4486C878AC_13</vt:lpwstr>
  </property>
  <property fmtid="{D5CDD505-2E9C-101B-9397-08002B2CF9AE}" pid="4" name="KSOTemplateDocerSaveRecord">
    <vt:lpwstr>eyJoZGlkIjoiNjE5NDkwZTNiNzhjNThkOTg1ZTE5ODZkNmNhMTU1MjciLCJ1c2VySWQiOiI1NDA3NTgzNDgifQ==</vt:lpwstr>
  </property>
</Properties>
</file>