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B2841">
      <w:pPr>
        <w:pStyle w:val="34"/>
        <w:rPr>
          <w:rFonts w:hint="eastAsia" w:ascii="黑体" w:hAnsi="黑体" w:eastAsia="黑体" w:cs="黑体"/>
          <w:b/>
          <w:bCs/>
          <w:color w:val="auto"/>
          <w:sz w:val="21"/>
          <w:szCs w:val="21"/>
        </w:rPr>
      </w:pPr>
      <w:bookmarkStart w:id="0" w:name="FY"/>
      <w:r>
        <w:rPr>
          <w:rFonts w:hint="eastAsia" w:ascii="宋体" w:hAnsi="宋体" w:eastAsia="宋体" w:cs="宋体"/>
          <w:b/>
          <w:bCs/>
          <w:color w:val="auto"/>
          <w:sz w:val="21"/>
          <w:szCs w:val="21"/>
          <w:lang w:val="en-US" w:eastAsia="zh-CN"/>
        </w:rPr>
        <w:t>C</w:t>
      </w:r>
      <w:r>
        <w:rPr>
          <w:rFonts w:hint="eastAsia" w:ascii="宋体" w:hAnsi="宋体" w:eastAsia="宋体" w:cs="宋体"/>
          <w:b/>
          <w:bCs/>
          <w:color w:val="auto"/>
          <w:sz w:val="21"/>
          <w:szCs w:val="21"/>
        </w:rPr>
        <w:t xml:space="preserve">CS </w:t>
      </w:r>
      <w:r>
        <w:rPr>
          <w:rFonts w:hint="eastAsia" w:ascii="宋体" w:hAnsi="宋体" w:eastAsia="宋体" w:cs="宋体"/>
          <w:b/>
          <w:bCs/>
          <w:color w:val="auto"/>
          <w:sz w:val="21"/>
          <w:szCs w:val="21"/>
          <w:lang w:val="en-US" w:eastAsia="zh-CN"/>
        </w:rPr>
        <w:t>F</w:t>
      </w:r>
      <w:r>
        <w:rPr>
          <w:rFonts w:hint="eastAsia" w:ascii="宋体" w:hAnsi="宋体" w:eastAsia="宋体" w:cs="宋体"/>
          <w:b/>
          <w:bCs/>
          <w:color w:val="auto"/>
          <w:sz w:val="21"/>
          <w:szCs w:val="21"/>
        </w:rPr>
        <w:t xml:space="preserve"> </w:t>
      </w:r>
      <w:r>
        <w:rPr>
          <w:rFonts w:hint="eastAsia" w:ascii="宋体" w:hAnsi="宋体" w:eastAsia="宋体" w:cs="宋体"/>
          <w:b/>
          <w:bCs/>
          <w:color w:val="auto"/>
          <w:sz w:val="21"/>
          <w:szCs w:val="21"/>
          <w:lang w:val="en-US" w:eastAsia="zh-CN"/>
        </w:rPr>
        <w:t>0</w:t>
      </w:r>
      <w:r>
        <w:rPr>
          <w:rFonts w:hint="eastAsia" w:ascii="宋体" w:hAnsi="宋体" w:eastAsia="宋体" w:cs="宋体"/>
          <w:b/>
          <w:bCs/>
          <w:color w:val="auto"/>
          <w:sz w:val="21"/>
          <w:szCs w:val="21"/>
        </w:rPr>
        <w:t>1</w:t>
      </w:r>
    </w:p>
    <w:bookmarkEnd w:id="0"/>
    <w:p w14:paraId="3CF55D78">
      <w:pPr>
        <w:pStyle w:val="46"/>
        <w:spacing w:before="156" w:after="156"/>
        <w:outlineLvl w:val="9"/>
        <w:rPr>
          <w:color w:val="auto"/>
        </w:rPr>
        <w:sectPr>
          <w:headerReference r:id="rId4" w:type="first"/>
          <w:footerReference r:id="rId7" w:type="first"/>
          <w:headerReference r:id="rId3" w:type="default"/>
          <w:footerReference r:id="rId5" w:type="default"/>
          <w:footerReference r:id="rId6" w:type="even"/>
          <w:pgSz w:w="11906" w:h="16838"/>
          <w:pgMar w:top="567" w:right="1134" w:bottom="1134" w:left="1418" w:header="1418" w:footer="1134" w:gutter="0"/>
          <w:pgBorders w:offsetFrom="page">
            <w:top w:val="none" w:sz="0" w:space="0"/>
            <w:left w:val="none" w:sz="0" w:space="0"/>
            <w:bottom w:val="none" w:sz="0" w:space="0"/>
            <w:right w:val="none" w:sz="0" w:space="0"/>
          </w:pgBorders>
          <w:pgNumType w:fmt="upperRoman" w:start="1"/>
          <w:cols w:space="425" w:num="1"/>
          <w:formProt w:val="0"/>
          <w:titlePg/>
          <w:docGrid w:type="lines" w:linePitch="312" w:charSpace="0"/>
        </w:sectPr>
      </w:pPr>
    </w:p>
    <w:p w14:paraId="673C4A0D">
      <w:pPr>
        <w:pStyle w:val="46"/>
        <w:spacing w:before="156" w:after="156"/>
        <w:outlineLvl w:val="9"/>
        <w:rPr>
          <w:color w:val="auto"/>
        </w:rPr>
        <w:sectPr>
          <w:type w:val="continuous"/>
          <w:pgSz w:w="11906" w:h="16838"/>
          <w:pgMar w:top="567" w:right="1134" w:bottom="1134" w:left="1418" w:header="1418" w:footer="1134" w:gutter="0"/>
          <w:pgBorders w:offsetFrom="page">
            <w:top w:val="none" w:sz="0" w:space="0"/>
            <w:left w:val="none" w:sz="0" w:space="0"/>
            <w:bottom w:val="none" w:sz="0" w:space="0"/>
            <w:right w:val="none" w:sz="0" w:space="0"/>
          </w:pgBorders>
          <w:pgNumType w:fmt="upperRoman"/>
          <w:cols w:space="425" w:num="1"/>
          <w:formProt w:val="0"/>
          <w:docGrid w:type="lines" w:linePitch="312" w:charSpace="0"/>
        </w:sectPr>
      </w:pPr>
      <w:r>
        <w:rPr>
          <w:color w:val="auto"/>
        </w:rPr>
        <mc:AlternateContent>
          <mc:Choice Requires="wps">
            <w:drawing>
              <wp:anchor distT="0" distB="0" distL="114300" distR="114300" simplePos="0" relativeHeight="251660288" behindDoc="0" locked="0" layoutInCell="1" allowOverlap="1">
                <wp:simplePos x="0" y="0"/>
                <wp:positionH relativeFrom="column">
                  <wp:posOffset>-238125</wp:posOffset>
                </wp:positionH>
                <wp:positionV relativeFrom="paragraph">
                  <wp:posOffset>2856230</wp:posOffset>
                </wp:positionV>
                <wp:extent cx="6258560" cy="2419985"/>
                <wp:effectExtent l="0" t="0" r="2540" b="5715"/>
                <wp:wrapNone/>
                <wp:docPr id="1" name="文本框 10"/>
                <wp:cNvGraphicFramePr/>
                <a:graphic xmlns:a="http://schemas.openxmlformats.org/drawingml/2006/main">
                  <a:graphicData uri="http://schemas.microsoft.com/office/word/2010/wordprocessingShape">
                    <wps:wsp>
                      <wps:cNvSpPr txBox="1"/>
                      <wps:spPr>
                        <a:xfrm>
                          <a:off x="0" y="0"/>
                          <a:ext cx="6258560" cy="2419985"/>
                        </a:xfrm>
                        <a:prstGeom prst="rect">
                          <a:avLst/>
                        </a:prstGeom>
                        <a:solidFill>
                          <a:srgbClr val="FFFFFF"/>
                        </a:solidFill>
                        <a:ln>
                          <a:noFill/>
                        </a:ln>
                      </wps:spPr>
                      <wps:txbx>
                        <w:txbxContent>
                          <w:p w14:paraId="5C354917">
                            <w:pPr>
                              <w:pStyle w:val="23"/>
                              <w:spacing w:line="460" w:lineRule="exact"/>
                              <w:rPr>
                                <w:rFonts w:hint="default" w:eastAsia="黑体"/>
                                <w:b w:val="0"/>
                                <w:bCs/>
                                <w:color w:val="auto"/>
                                <w:sz w:val="52"/>
                                <w:szCs w:val="52"/>
                                <w:lang w:val="en-US" w:eastAsia="zh-CN"/>
                              </w:rPr>
                            </w:pPr>
                            <w:bookmarkStart w:id="21" w:name="_Hlk24468625"/>
                            <w:r>
                              <w:rPr>
                                <w:rFonts w:hint="eastAsia"/>
                                <w:b w:val="0"/>
                                <w:bCs/>
                                <w:color w:val="auto"/>
                                <w:sz w:val="52"/>
                                <w:szCs w:val="52"/>
                                <w:lang w:val="en-US" w:eastAsia="zh-CN"/>
                              </w:rPr>
                              <w:t>丙烯酸单位产品能耗和碳排放限额</w:t>
                            </w:r>
                          </w:p>
                          <w:bookmarkEnd w:id="21"/>
                          <w:p w14:paraId="5AED1AD8">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lang w:val="en-US" w:eastAsia="zh-CN"/>
                              </w:rPr>
                              <w:t>N</w:t>
                            </w:r>
                            <w:r>
                              <w:rPr>
                                <w:rFonts w:hint="eastAsia" w:ascii="黑体" w:hAnsi="黑体" w:eastAsia="黑体" w:cs="黑体"/>
                                <w:b w:val="0"/>
                                <w:bCs/>
                                <w:color w:val="auto"/>
                                <w:kern w:val="0"/>
                                <w:sz w:val="28"/>
                                <w:szCs w:val="28"/>
                                <w:highlight w:val="none"/>
                              </w:rPr>
                              <w:t xml:space="preserve">orm of energy consumption and </w:t>
                            </w:r>
                            <w:r>
                              <w:rPr>
                                <w:rFonts w:hint="eastAsia" w:ascii="黑体" w:hAnsi="黑体" w:eastAsia="黑体" w:cs="黑体"/>
                                <w:b w:val="0"/>
                                <w:bCs/>
                                <w:color w:val="auto"/>
                                <w:kern w:val="0"/>
                                <w:sz w:val="28"/>
                                <w:szCs w:val="28"/>
                                <w:highlight w:val="none"/>
                                <w:lang w:val="en-US" w:eastAsia="zh-CN"/>
                              </w:rPr>
                              <w:t>c</w:t>
                            </w:r>
                            <w:r>
                              <w:rPr>
                                <w:rFonts w:hint="eastAsia" w:ascii="黑体" w:hAnsi="黑体" w:eastAsia="黑体" w:cs="黑体"/>
                                <w:b w:val="0"/>
                                <w:bCs/>
                                <w:color w:val="auto"/>
                                <w:kern w:val="0"/>
                                <w:sz w:val="28"/>
                                <w:szCs w:val="28"/>
                                <w:highlight w:val="none"/>
                              </w:rPr>
                              <w:t xml:space="preserve">arbon </w:t>
                            </w:r>
                            <w:r>
                              <w:rPr>
                                <w:rFonts w:hint="eastAsia" w:ascii="黑体" w:hAnsi="黑体" w:eastAsia="黑体" w:cs="黑体"/>
                                <w:b w:val="0"/>
                                <w:bCs/>
                                <w:color w:val="auto"/>
                                <w:kern w:val="0"/>
                                <w:sz w:val="28"/>
                                <w:szCs w:val="28"/>
                                <w:highlight w:val="none"/>
                                <w:lang w:val="en-US" w:eastAsia="zh-CN"/>
                              </w:rPr>
                              <w:t>e</w:t>
                            </w:r>
                            <w:r>
                              <w:rPr>
                                <w:rFonts w:hint="eastAsia" w:ascii="黑体" w:hAnsi="黑体" w:eastAsia="黑体" w:cs="黑体"/>
                                <w:b w:val="0"/>
                                <w:bCs/>
                                <w:color w:val="auto"/>
                                <w:kern w:val="0"/>
                                <w:sz w:val="28"/>
                                <w:szCs w:val="28"/>
                                <w:highlight w:val="none"/>
                              </w:rPr>
                              <w:t>mission</w:t>
                            </w:r>
                            <w:r>
                              <w:rPr>
                                <w:rFonts w:hint="eastAsia" w:ascii="黑体" w:hAnsi="黑体" w:eastAsia="黑体" w:cs="黑体"/>
                                <w:b w:val="0"/>
                                <w:bCs/>
                                <w:color w:val="auto"/>
                                <w:kern w:val="0"/>
                                <w:sz w:val="28"/>
                                <w:szCs w:val="28"/>
                                <w:highlight w:val="none"/>
                                <w:lang w:val="en-US" w:eastAsia="zh-CN"/>
                              </w:rPr>
                              <w:t xml:space="preserve">s </w:t>
                            </w:r>
                            <w:r>
                              <w:rPr>
                                <w:rFonts w:hint="eastAsia" w:ascii="黑体" w:hAnsi="黑体" w:eastAsia="黑体" w:cs="黑体"/>
                                <w:b w:val="0"/>
                                <w:bCs/>
                                <w:color w:val="auto"/>
                                <w:kern w:val="0"/>
                                <w:sz w:val="28"/>
                                <w:szCs w:val="28"/>
                                <w:highlight w:val="none"/>
                              </w:rPr>
                              <w:t>per unit product</w:t>
                            </w:r>
                            <w:r>
                              <w:rPr>
                                <w:rFonts w:hint="eastAsia" w:ascii="黑体" w:hAnsi="黑体" w:eastAsia="黑体" w:cs="黑体"/>
                                <w:b w:val="0"/>
                                <w:bCs/>
                                <w:color w:val="auto"/>
                                <w:kern w:val="0"/>
                                <w:sz w:val="28"/>
                                <w:szCs w:val="28"/>
                                <w:highlight w:val="none"/>
                                <w:lang w:val="en-US" w:eastAsia="zh-CN"/>
                              </w:rPr>
                              <w:t>ion</w:t>
                            </w:r>
                            <w:r>
                              <w:rPr>
                                <w:rFonts w:hint="eastAsia" w:ascii="黑体" w:hAnsi="黑体" w:eastAsia="黑体" w:cs="黑体"/>
                                <w:b w:val="0"/>
                                <w:bCs/>
                                <w:color w:val="auto"/>
                                <w:kern w:val="0"/>
                                <w:sz w:val="28"/>
                                <w:szCs w:val="28"/>
                                <w:highlight w:val="none"/>
                              </w:rPr>
                              <w:t xml:space="preserve"> of</w:t>
                            </w:r>
                          </w:p>
                          <w:p w14:paraId="086C8727">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lang w:val="en-US" w:eastAsia="zh-CN"/>
                              </w:rPr>
                              <w:t>acrylic products</w:t>
                            </w:r>
                          </w:p>
                          <w:p w14:paraId="779AEE51">
                            <w:pPr>
                              <w:jc w:val="center"/>
                              <w:rPr>
                                <w:sz w:val="44"/>
                                <w:szCs w:val="44"/>
                              </w:rPr>
                            </w:pPr>
                            <w:r>
                              <w:rPr>
                                <w:rFonts w:hint="eastAsia"/>
                                <w:sz w:val="44"/>
                                <w:szCs w:val="44"/>
                              </w:rPr>
                              <w:t>（</w:t>
                            </w:r>
                            <w:r>
                              <w:rPr>
                                <w:rFonts w:hint="eastAsia"/>
                                <w:sz w:val="44"/>
                                <w:szCs w:val="44"/>
                                <w:lang w:val="en-US" w:eastAsia="zh-CN"/>
                              </w:rPr>
                              <w:t>征求意见</w:t>
                            </w:r>
                            <w:r>
                              <w:rPr>
                                <w:rFonts w:hint="eastAsia"/>
                                <w:sz w:val="44"/>
                                <w:szCs w:val="44"/>
                              </w:rPr>
                              <w:t>稿）</w:t>
                            </w:r>
                          </w:p>
                          <w:p w14:paraId="2CD8E6D2">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bCs/>
                                <w:color w:val="auto"/>
                                <w:kern w:val="0"/>
                                <w:sz w:val="28"/>
                                <w:szCs w:val="28"/>
                              </w:rPr>
                            </w:pPr>
                          </w:p>
                        </w:txbxContent>
                      </wps:txbx>
                      <wps:bodyPr upright="1"/>
                    </wps:wsp>
                  </a:graphicData>
                </a:graphic>
              </wp:anchor>
            </w:drawing>
          </mc:Choice>
          <mc:Fallback>
            <w:pict>
              <v:shape id="文本框 10" o:spid="_x0000_s1026" o:spt="202" type="#_x0000_t202" style="position:absolute;left:0pt;margin-left:-18.75pt;margin-top:224.9pt;height:190.55pt;width:492.8pt;z-index:251660288;mso-width-relative:page;mso-height-relative:page;" fillcolor="#FFFFFF" filled="t" stroked="f" coordsize="21600,21600" o:gfxdata="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AP94doAAAALAQAADwAAAAAAAAABACAAAAAiAAAAZHJzL2Rvd25yZXYu&#10;eG1sUEsBAhQAFAAAAAgAh07iQKb694HAAQAAeQMAAA4AAAAAAAAAAQAgAAAAKQEAAGRycy9lMm9E&#10;b2MueG1sUEsFBgAAAAAGAAYAWQEAAFsFAAAAAA==&#10;">
                <v:fill on="t" focussize="0,0"/>
                <v:stroke on="f"/>
                <v:imagedata o:title=""/>
                <o:lock v:ext="edit" aspectratio="f"/>
                <v:textbox>
                  <w:txbxContent>
                    <w:p w14:paraId="5C354917">
                      <w:pPr>
                        <w:pStyle w:val="23"/>
                        <w:spacing w:line="460" w:lineRule="exact"/>
                        <w:rPr>
                          <w:rFonts w:hint="default" w:eastAsia="黑体"/>
                          <w:b w:val="0"/>
                          <w:bCs/>
                          <w:color w:val="auto"/>
                          <w:sz w:val="52"/>
                          <w:szCs w:val="52"/>
                          <w:lang w:val="en-US" w:eastAsia="zh-CN"/>
                        </w:rPr>
                      </w:pPr>
                      <w:bookmarkStart w:id="21" w:name="_Hlk24468625"/>
                      <w:r>
                        <w:rPr>
                          <w:rFonts w:hint="eastAsia"/>
                          <w:b w:val="0"/>
                          <w:bCs/>
                          <w:color w:val="auto"/>
                          <w:sz w:val="52"/>
                          <w:szCs w:val="52"/>
                          <w:lang w:val="en-US" w:eastAsia="zh-CN"/>
                        </w:rPr>
                        <w:t>丙烯酸单位产品能耗和碳排放限额</w:t>
                      </w:r>
                    </w:p>
                    <w:bookmarkEnd w:id="21"/>
                    <w:p w14:paraId="5AED1AD8">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lang w:val="en-US" w:eastAsia="zh-CN"/>
                        </w:rPr>
                        <w:t>N</w:t>
                      </w:r>
                      <w:r>
                        <w:rPr>
                          <w:rFonts w:hint="eastAsia" w:ascii="黑体" w:hAnsi="黑体" w:eastAsia="黑体" w:cs="黑体"/>
                          <w:b w:val="0"/>
                          <w:bCs/>
                          <w:color w:val="auto"/>
                          <w:kern w:val="0"/>
                          <w:sz w:val="28"/>
                          <w:szCs w:val="28"/>
                          <w:highlight w:val="none"/>
                        </w:rPr>
                        <w:t xml:space="preserve">orm of energy consumption and </w:t>
                      </w:r>
                      <w:r>
                        <w:rPr>
                          <w:rFonts w:hint="eastAsia" w:ascii="黑体" w:hAnsi="黑体" w:eastAsia="黑体" w:cs="黑体"/>
                          <w:b w:val="0"/>
                          <w:bCs/>
                          <w:color w:val="auto"/>
                          <w:kern w:val="0"/>
                          <w:sz w:val="28"/>
                          <w:szCs w:val="28"/>
                          <w:highlight w:val="none"/>
                          <w:lang w:val="en-US" w:eastAsia="zh-CN"/>
                        </w:rPr>
                        <w:t>c</w:t>
                      </w:r>
                      <w:r>
                        <w:rPr>
                          <w:rFonts w:hint="eastAsia" w:ascii="黑体" w:hAnsi="黑体" w:eastAsia="黑体" w:cs="黑体"/>
                          <w:b w:val="0"/>
                          <w:bCs/>
                          <w:color w:val="auto"/>
                          <w:kern w:val="0"/>
                          <w:sz w:val="28"/>
                          <w:szCs w:val="28"/>
                          <w:highlight w:val="none"/>
                        </w:rPr>
                        <w:t xml:space="preserve">arbon </w:t>
                      </w:r>
                      <w:r>
                        <w:rPr>
                          <w:rFonts w:hint="eastAsia" w:ascii="黑体" w:hAnsi="黑体" w:eastAsia="黑体" w:cs="黑体"/>
                          <w:b w:val="0"/>
                          <w:bCs/>
                          <w:color w:val="auto"/>
                          <w:kern w:val="0"/>
                          <w:sz w:val="28"/>
                          <w:szCs w:val="28"/>
                          <w:highlight w:val="none"/>
                          <w:lang w:val="en-US" w:eastAsia="zh-CN"/>
                        </w:rPr>
                        <w:t>e</w:t>
                      </w:r>
                      <w:r>
                        <w:rPr>
                          <w:rFonts w:hint="eastAsia" w:ascii="黑体" w:hAnsi="黑体" w:eastAsia="黑体" w:cs="黑体"/>
                          <w:b w:val="0"/>
                          <w:bCs/>
                          <w:color w:val="auto"/>
                          <w:kern w:val="0"/>
                          <w:sz w:val="28"/>
                          <w:szCs w:val="28"/>
                          <w:highlight w:val="none"/>
                        </w:rPr>
                        <w:t>mission</w:t>
                      </w:r>
                      <w:r>
                        <w:rPr>
                          <w:rFonts w:hint="eastAsia" w:ascii="黑体" w:hAnsi="黑体" w:eastAsia="黑体" w:cs="黑体"/>
                          <w:b w:val="0"/>
                          <w:bCs/>
                          <w:color w:val="auto"/>
                          <w:kern w:val="0"/>
                          <w:sz w:val="28"/>
                          <w:szCs w:val="28"/>
                          <w:highlight w:val="none"/>
                          <w:lang w:val="en-US" w:eastAsia="zh-CN"/>
                        </w:rPr>
                        <w:t xml:space="preserve">s </w:t>
                      </w:r>
                      <w:r>
                        <w:rPr>
                          <w:rFonts w:hint="eastAsia" w:ascii="黑体" w:hAnsi="黑体" w:eastAsia="黑体" w:cs="黑体"/>
                          <w:b w:val="0"/>
                          <w:bCs/>
                          <w:color w:val="auto"/>
                          <w:kern w:val="0"/>
                          <w:sz w:val="28"/>
                          <w:szCs w:val="28"/>
                          <w:highlight w:val="none"/>
                        </w:rPr>
                        <w:t>per unit product</w:t>
                      </w:r>
                      <w:r>
                        <w:rPr>
                          <w:rFonts w:hint="eastAsia" w:ascii="黑体" w:hAnsi="黑体" w:eastAsia="黑体" w:cs="黑体"/>
                          <w:b w:val="0"/>
                          <w:bCs/>
                          <w:color w:val="auto"/>
                          <w:kern w:val="0"/>
                          <w:sz w:val="28"/>
                          <w:szCs w:val="28"/>
                          <w:highlight w:val="none"/>
                          <w:lang w:val="en-US" w:eastAsia="zh-CN"/>
                        </w:rPr>
                        <w:t>ion</w:t>
                      </w:r>
                      <w:r>
                        <w:rPr>
                          <w:rFonts w:hint="eastAsia" w:ascii="黑体" w:hAnsi="黑体" w:eastAsia="黑体" w:cs="黑体"/>
                          <w:b w:val="0"/>
                          <w:bCs/>
                          <w:color w:val="auto"/>
                          <w:kern w:val="0"/>
                          <w:sz w:val="28"/>
                          <w:szCs w:val="28"/>
                          <w:highlight w:val="none"/>
                        </w:rPr>
                        <w:t xml:space="preserve"> of</w:t>
                      </w:r>
                    </w:p>
                    <w:p w14:paraId="086C8727">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val="0"/>
                          <w:bCs/>
                          <w:color w:val="auto"/>
                          <w:kern w:val="0"/>
                          <w:sz w:val="28"/>
                          <w:szCs w:val="28"/>
                          <w:highlight w:val="none"/>
                        </w:rPr>
                      </w:pPr>
                      <w:r>
                        <w:rPr>
                          <w:rFonts w:hint="eastAsia" w:ascii="黑体" w:hAnsi="黑体" w:eastAsia="黑体" w:cs="黑体"/>
                          <w:b w:val="0"/>
                          <w:bCs/>
                          <w:color w:val="auto"/>
                          <w:kern w:val="0"/>
                          <w:sz w:val="28"/>
                          <w:szCs w:val="28"/>
                          <w:highlight w:val="none"/>
                          <w:lang w:val="en-US" w:eastAsia="zh-CN"/>
                        </w:rPr>
                        <w:t>acrylic products</w:t>
                      </w:r>
                    </w:p>
                    <w:p w14:paraId="779AEE51">
                      <w:pPr>
                        <w:jc w:val="center"/>
                        <w:rPr>
                          <w:sz w:val="44"/>
                          <w:szCs w:val="44"/>
                        </w:rPr>
                      </w:pPr>
                      <w:r>
                        <w:rPr>
                          <w:rFonts w:hint="eastAsia"/>
                          <w:sz w:val="44"/>
                          <w:szCs w:val="44"/>
                        </w:rPr>
                        <w:t>（</w:t>
                      </w:r>
                      <w:r>
                        <w:rPr>
                          <w:rFonts w:hint="eastAsia"/>
                          <w:sz w:val="44"/>
                          <w:szCs w:val="44"/>
                          <w:lang w:val="en-US" w:eastAsia="zh-CN"/>
                        </w:rPr>
                        <w:t>征求意见</w:t>
                      </w:r>
                      <w:r>
                        <w:rPr>
                          <w:rFonts w:hint="eastAsia"/>
                          <w:sz w:val="44"/>
                          <w:szCs w:val="44"/>
                        </w:rPr>
                        <w:t>稿）</w:t>
                      </w:r>
                    </w:p>
                    <w:p w14:paraId="2CD8E6D2">
                      <w:pPr>
                        <w:keepNext w:val="0"/>
                        <w:keepLines w:val="0"/>
                        <w:pageBreakBefore w:val="0"/>
                        <w:widowControl w:val="0"/>
                        <w:kinsoku/>
                        <w:wordWrap/>
                        <w:overflowPunct/>
                        <w:topLinePunct w:val="0"/>
                        <w:bidi w:val="0"/>
                        <w:adjustRightInd/>
                        <w:snapToGrid/>
                        <w:spacing w:before="100" w:line="460" w:lineRule="exact"/>
                        <w:jc w:val="center"/>
                        <w:textAlignment w:val="center"/>
                        <w:rPr>
                          <w:rFonts w:hint="eastAsia" w:ascii="黑体" w:hAnsi="黑体" w:eastAsia="黑体" w:cs="黑体"/>
                          <w:b/>
                          <w:bCs/>
                          <w:color w:val="auto"/>
                          <w:kern w:val="0"/>
                          <w:sz w:val="28"/>
                          <w:szCs w:val="28"/>
                        </w:rPr>
                      </w:pPr>
                    </w:p>
                  </w:txbxContent>
                </v:textbox>
              </v:shap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598170</wp:posOffset>
                </wp:positionH>
                <wp:positionV relativeFrom="paragraph">
                  <wp:posOffset>8283575</wp:posOffset>
                </wp:positionV>
                <wp:extent cx="4549775" cy="554355"/>
                <wp:effectExtent l="0" t="0" r="9525" b="4445"/>
                <wp:wrapNone/>
                <wp:docPr id="2" name="文本框 11"/>
                <wp:cNvGraphicFramePr/>
                <a:graphic xmlns:a="http://schemas.openxmlformats.org/drawingml/2006/main">
                  <a:graphicData uri="http://schemas.microsoft.com/office/word/2010/wordprocessingShape">
                    <wps:wsp>
                      <wps:cNvSpPr txBox="1"/>
                      <wps:spPr>
                        <a:xfrm>
                          <a:off x="0" y="0"/>
                          <a:ext cx="4549775" cy="554355"/>
                        </a:xfrm>
                        <a:prstGeom prst="rect">
                          <a:avLst/>
                        </a:prstGeom>
                        <a:solidFill>
                          <a:srgbClr val="FFFFFF"/>
                        </a:solidFill>
                        <a:ln>
                          <a:noFill/>
                        </a:ln>
                      </wps:spPr>
                      <wps:txbx>
                        <w:txbxContent>
                          <w:p w14:paraId="0B378328">
                            <w:pPr>
                              <w:rPr>
                                <w:rFonts w:ascii="黑体" w:hAnsi="黑体" w:eastAsia="黑体"/>
                                <w:sz w:val="28"/>
                                <w:szCs w:val="28"/>
                              </w:rPr>
                            </w:pPr>
                            <w:r>
                              <w:rPr>
                                <w:rFonts w:hint="eastAsia" w:ascii="微软雅黑" w:hAnsi="微软雅黑" w:eastAsia="微软雅黑"/>
                                <w:sz w:val="44"/>
                                <w:szCs w:val="44"/>
                              </w:rPr>
                              <w:t xml:space="preserve">广东省石油和化学工业协会 </w:t>
                            </w:r>
                            <w:r>
                              <w:rPr>
                                <w:rStyle w:val="20"/>
                                <w:rFonts w:hint="eastAsia" w:ascii="Times New Roman"/>
                              </w:rPr>
                              <w:t>发布</w:t>
                            </w:r>
                          </w:p>
                        </w:txbxContent>
                      </wps:txbx>
                      <wps:bodyPr upright="1"/>
                    </wps:wsp>
                  </a:graphicData>
                </a:graphic>
              </wp:anchor>
            </w:drawing>
          </mc:Choice>
          <mc:Fallback>
            <w:pict>
              <v:shape id="文本框 11" o:spid="_x0000_s1026" o:spt="202" type="#_x0000_t202" style="position:absolute;left:0pt;margin-left:47.1pt;margin-top:652.25pt;height:43.65pt;width:358.25pt;z-index:251660288;mso-width-relative:page;mso-height-relative:page;" fillcolor="#FFFFFF" filled="t" stroked="f" coordsize="21600,21600" o:gfxdata="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CfxibnZAAAADAEAAA8AAAAAAAAAAQAgAAAAIgAAAGRycy9kb3ducmV2&#10;LnhtbFBLAQIUABQAAAAIAIdO4kA3pGtcwgEAAHgDAAAOAAAAAAAAAAEAIAAAACgBAABkcnMvZTJv&#10;RG9jLnhtbFBLBQYAAAAABgAGAFkBAABcBQAAAAA=&#10;">
                <v:fill on="t" focussize="0,0"/>
                <v:stroke on="f"/>
                <v:imagedata o:title=""/>
                <o:lock v:ext="edit" aspectratio="f"/>
                <v:textbox>
                  <w:txbxContent>
                    <w:p w14:paraId="0B378328">
                      <w:pPr>
                        <w:rPr>
                          <w:rFonts w:ascii="黑体" w:hAnsi="黑体" w:eastAsia="黑体"/>
                          <w:sz w:val="28"/>
                          <w:szCs w:val="28"/>
                        </w:rPr>
                      </w:pPr>
                      <w:r>
                        <w:rPr>
                          <w:rFonts w:hint="eastAsia" w:ascii="微软雅黑" w:hAnsi="微软雅黑" w:eastAsia="微软雅黑"/>
                          <w:sz w:val="44"/>
                          <w:szCs w:val="44"/>
                        </w:rPr>
                        <w:t xml:space="preserve">广东省石油和化学工业协会 </w:t>
                      </w:r>
                      <w:r>
                        <w:rPr>
                          <w:rStyle w:val="20"/>
                          <w:rFonts w:hint="eastAsia" w:ascii="Times New Roman"/>
                        </w:rPr>
                        <w:t>发布</w:t>
                      </w:r>
                    </w:p>
                  </w:txbxContent>
                </v:textbox>
              </v:shap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-195580</wp:posOffset>
                </wp:positionH>
                <wp:positionV relativeFrom="paragraph">
                  <wp:posOffset>297815</wp:posOffset>
                </wp:positionV>
                <wp:extent cx="6258560" cy="807085"/>
                <wp:effectExtent l="0" t="0" r="2540" b="5715"/>
                <wp:wrapNone/>
                <wp:docPr id="3" name="文本框 8"/>
                <wp:cNvGraphicFramePr/>
                <a:graphic xmlns:a="http://schemas.openxmlformats.org/drawingml/2006/main">
                  <a:graphicData uri="http://schemas.microsoft.com/office/word/2010/wordprocessingShape">
                    <wps:wsp>
                      <wps:cNvSpPr txBox="1"/>
                      <wps:spPr>
                        <a:xfrm>
                          <a:off x="0" y="0"/>
                          <a:ext cx="6258560" cy="807085"/>
                        </a:xfrm>
                        <a:prstGeom prst="rect">
                          <a:avLst/>
                        </a:prstGeom>
                        <a:solidFill>
                          <a:srgbClr val="FFFFFF"/>
                        </a:solidFill>
                        <a:ln>
                          <a:noFill/>
                        </a:ln>
                      </wps:spPr>
                      <wps:txbx>
                        <w:txbxContent>
                          <w:p w14:paraId="3E60FBB9">
                            <w:pPr>
                              <w:pStyle w:val="35"/>
                              <w:jc w:val="center"/>
                              <w:rPr>
                                <w:rFonts w:ascii="宋体" w:eastAsia="宋体"/>
                                <w:b/>
                                <w:spacing w:val="0"/>
                                <w:sz w:val="72"/>
                                <w:szCs w:val="72"/>
                              </w:rPr>
                            </w:pPr>
                            <w:r>
                              <w:rPr>
                                <w:rFonts w:hint="eastAsia" w:hAnsi="黑体" w:cs="黑体"/>
                                <w:bCs/>
                                <w:spacing w:val="0"/>
                                <w:sz w:val="84"/>
                                <w:szCs w:val="84"/>
                              </w:rPr>
                              <w:t>团   体   标   准</w:t>
                            </w:r>
                          </w:p>
                          <w:p w14:paraId="275EBECA">
                            <w:pPr>
                              <w:rPr>
                                <w:rFonts w:ascii="黑体" w:hAnsi="黑体" w:eastAsia="黑体"/>
                                <w:sz w:val="28"/>
                                <w:szCs w:val="28"/>
                              </w:rPr>
                            </w:pPr>
                          </w:p>
                        </w:txbxContent>
                      </wps:txbx>
                      <wps:bodyPr upright="1"/>
                    </wps:wsp>
                  </a:graphicData>
                </a:graphic>
              </wp:anchor>
            </w:drawing>
          </mc:Choice>
          <mc:Fallback>
            <w:pict>
              <v:shape id="文本框 8" o:spid="_x0000_s1026" o:spt="202" type="#_x0000_t202" style="position:absolute;left:0pt;margin-left:-15.4pt;margin-top:23.45pt;height:63.55pt;width:492.8pt;z-index:251660288;mso-width-relative:page;mso-height-relative:page;" fillcolor="#FFFFFF" filled="t" stroked="f" coordsize="21600,21600" o:gfxdata="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TDvAe1wAAAAoBAAAPAAAAAAAAAAEAIAAAACIAAABkcnMvZG93bnJldi54bWxQ&#10;SwECFAAUAAAACACHTuJAgUaKJb8BAAB3AwAADgAAAAAAAAABACAAAAAmAQAAZHJzL2Uyb0RvYy54&#10;bWxQSwUGAAAAAAYABgBZAQAAVwUAAAAA&#10;">
                <v:fill on="t" focussize="0,0"/>
                <v:stroke on="f"/>
                <v:imagedata o:title=""/>
                <o:lock v:ext="edit" aspectratio="f"/>
                <v:textbox>
                  <w:txbxContent>
                    <w:p w14:paraId="3E60FBB9">
                      <w:pPr>
                        <w:pStyle w:val="35"/>
                        <w:jc w:val="center"/>
                        <w:rPr>
                          <w:rFonts w:ascii="宋体" w:eastAsia="宋体"/>
                          <w:b/>
                          <w:spacing w:val="0"/>
                          <w:sz w:val="72"/>
                          <w:szCs w:val="72"/>
                        </w:rPr>
                      </w:pPr>
                      <w:r>
                        <w:rPr>
                          <w:rFonts w:hint="eastAsia" w:hAnsi="黑体" w:cs="黑体"/>
                          <w:bCs/>
                          <w:spacing w:val="0"/>
                          <w:sz w:val="84"/>
                          <w:szCs w:val="84"/>
                        </w:rPr>
                        <w:t>团   体   标   准</w:t>
                      </w:r>
                    </w:p>
                    <w:p w14:paraId="275EBECA">
                      <w:pPr>
                        <w:rPr>
                          <w:rFonts w:ascii="黑体" w:hAnsi="黑体" w:eastAsia="黑体"/>
                          <w:sz w:val="28"/>
                          <w:szCs w:val="28"/>
                        </w:rPr>
                      </w:pPr>
                    </w:p>
                  </w:txbxContent>
                </v:textbox>
              </v:shap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-180975</wp:posOffset>
                </wp:positionH>
                <wp:positionV relativeFrom="paragraph">
                  <wp:posOffset>8393430</wp:posOffset>
                </wp:positionV>
                <wp:extent cx="6120130" cy="0"/>
                <wp:effectExtent l="0" t="0" r="0" b="0"/>
                <wp:wrapNone/>
                <wp:docPr id="4" name="直线 1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7" o:spid="_x0000_s1026" o:spt="20" style="position:absolute;left:0pt;margin-left:-14.25pt;margin-top:660.9pt;height:0pt;width:481.9pt;z-index:251660288;mso-width-relative:page;mso-height-relative:page;" filled="f" stroked="t" coordsize="21600,21600" o:gfxdata="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MqtzjX&#10;AAAADQEAAA8AAAAAAAAAAQAgAAAAIgAAAGRycy9kb3ducmV2LnhtbFBLAQIUABQAAAAIAIdO4kBK&#10;2Xab6AEAANwDAAAOAAAAAAAAAAEAIAAAACYBAABkcnMvZTJvRG9jLnhtbFBLBQYAAAAABgAGAFkB&#10;AACABQAAAAA=&#10;">
                <v:fill on="f" focussize="0,0"/>
                <v:stroke color="#000000" joinstyle="round"/>
                <v:imagedata o:title=""/>
                <o:lock v:ext="edit" aspectratio="f"/>
              </v:lin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3863340</wp:posOffset>
                </wp:positionH>
                <wp:positionV relativeFrom="paragraph">
                  <wp:posOffset>1076325</wp:posOffset>
                </wp:positionV>
                <wp:extent cx="2270125" cy="400050"/>
                <wp:effectExtent l="0" t="0" r="3175" b="6350"/>
                <wp:wrapNone/>
                <wp:docPr id="5" name="文本框 9"/>
                <wp:cNvGraphicFramePr/>
                <a:graphic xmlns:a="http://schemas.openxmlformats.org/drawingml/2006/main">
                  <a:graphicData uri="http://schemas.microsoft.com/office/word/2010/wordprocessingShape">
                    <wps:wsp>
                      <wps:cNvSpPr txBox="1"/>
                      <wps:spPr>
                        <a:xfrm>
                          <a:off x="0" y="0"/>
                          <a:ext cx="2270125" cy="400050"/>
                        </a:xfrm>
                        <a:prstGeom prst="rect">
                          <a:avLst/>
                        </a:prstGeom>
                        <a:solidFill>
                          <a:srgbClr val="FFFFFF"/>
                        </a:solidFill>
                        <a:ln>
                          <a:noFill/>
                        </a:ln>
                      </wps:spPr>
                      <wps:txbx>
                        <w:txbxContent>
                          <w:p w14:paraId="31DB13D1">
                            <w:pPr>
                              <w:ind w:firstLine="560" w:firstLineChars="200"/>
                              <w:rPr>
                                <w:rFonts w:hint="default" w:ascii="黑体" w:hAnsi="黑体" w:eastAsia="黑体"/>
                                <w:sz w:val="40"/>
                                <w:szCs w:val="28"/>
                                <w:lang w:val="en-US" w:eastAsia="zh-CN"/>
                              </w:rPr>
                            </w:pPr>
                            <w:r>
                              <w:rPr>
                                <w:rFonts w:hint="eastAsia" w:ascii="黑体" w:hAnsi="黑体" w:eastAsia="黑体" w:cs="黑体"/>
                                <w:sz w:val="28"/>
                                <w:szCs w:val="28"/>
                              </w:rPr>
                              <w:t xml:space="preserve">T/GPCIA  </w:t>
                            </w:r>
                            <w:r>
                              <w:rPr>
                                <w:rFonts w:hint="eastAsia" w:ascii="黑体" w:hAnsi="黑体" w:eastAsia="黑体" w:cs="黑体"/>
                                <w:sz w:val="28"/>
                                <w:szCs w:val="28"/>
                                <w:highlight w:val="none"/>
                                <w:lang w:val="en-US" w:eastAsia="zh-CN"/>
                              </w:rPr>
                              <w:t>XX</w:t>
                            </w:r>
                            <w:r>
                              <w:rPr>
                                <w:rFonts w:hint="eastAsia" w:ascii="黑体" w:hAnsi="黑体" w:eastAsia="黑体" w:cs="黑体"/>
                                <w:sz w:val="28"/>
                              </w:rPr>
                              <w:t>—</w:t>
                            </w:r>
                            <w:r>
                              <w:rPr>
                                <w:rFonts w:hint="eastAsia" w:ascii="黑体" w:hAnsi="黑体" w:eastAsia="黑体" w:cs="黑体"/>
                                <w:sz w:val="28"/>
                                <w:lang w:val="en-US" w:eastAsia="zh-CN"/>
                              </w:rPr>
                              <w:t>XXXX</w:t>
                            </w:r>
                          </w:p>
                        </w:txbxContent>
                      </wps:txbx>
                      <wps:bodyPr upright="1"/>
                    </wps:wsp>
                  </a:graphicData>
                </a:graphic>
              </wp:anchor>
            </w:drawing>
          </mc:Choice>
          <mc:Fallback>
            <w:pict>
              <v:shape id="文本框 9" o:spid="_x0000_s1026" o:spt="202" type="#_x0000_t202" style="position:absolute;left:0pt;margin-left:304.2pt;margin-top:84.75pt;height:31.5pt;width:178.75pt;z-index:251660288;mso-width-relative:page;mso-height-relative:page;" fillcolor="#FFFFFF" filled="t" stroked="f" coordsize="21600,21600" o:gfxdata="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Ez5DhHZAAAACwEAAA8AAAAAAAAAAQAgAAAAIgAAAGRycy9kb3ducmV2&#10;LnhtbFBLAQIUABQAAAAIAIdO4kCIftXFwgEAAHcDAAAOAAAAAAAAAAEAIAAAACgBAABkcnMvZTJv&#10;RG9jLnhtbFBLBQYAAAAABgAGAFkBAABcBQAAAAA=&#10;">
                <v:fill on="t" focussize="0,0"/>
                <v:stroke on="f"/>
                <v:imagedata o:title=""/>
                <o:lock v:ext="edit" aspectratio="f"/>
                <v:textbox>
                  <w:txbxContent>
                    <w:p w14:paraId="31DB13D1">
                      <w:pPr>
                        <w:ind w:firstLine="560" w:firstLineChars="200"/>
                        <w:rPr>
                          <w:rFonts w:hint="default" w:ascii="黑体" w:hAnsi="黑体" w:eastAsia="黑体"/>
                          <w:sz w:val="40"/>
                          <w:szCs w:val="28"/>
                          <w:lang w:val="en-US" w:eastAsia="zh-CN"/>
                        </w:rPr>
                      </w:pPr>
                      <w:r>
                        <w:rPr>
                          <w:rFonts w:hint="eastAsia" w:ascii="黑体" w:hAnsi="黑体" w:eastAsia="黑体" w:cs="黑体"/>
                          <w:sz w:val="28"/>
                          <w:szCs w:val="28"/>
                        </w:rPr>
                        <w:t xml:space="preserve">T/GPCIA  </w:t>
                      </w:r>
                      <w:r>
                        <w:rPr>
                          <w:rFonts w:hint="eastAsia" w:ascii="黑体" w:hAnsi="黑体" w:eastAsia="黑体" w:cs="黑体"/>
                          <w:sz w:val="28"/>
                          <w:szCs w:val="28"/>
                          <w:highlight w:val="none"/>
                          <w:lang w:val="en-US" w:eastAsia="zh-CN"/>
                        </w:rPr>
                        <w:t>XX</w:t>
                      </w:r>
                      <w:r>
                        <w:rPr>
                          <w:rFonts w:hint="eastAsia" w:ascii="黑体" w:hAnsi="黑体" w:eastAsia="黑体" w:cs="黑体"/>
                          <w:sz w:val="28"/>
                        </w:rPr>
                        <w:t>—</w:t>
                      </w:r>
                      <w:r>
                        <w:rPr>
                          <w:rFonts w:hint="eastAsia" w:ascii="黑体" w:hAnsi="黑体" w:eastAsia="黑体" w:cs="黑体"/>
                          <w:sz w:val="28"/>
                          <w:lang w:val="en-US" w:eastAsia="zh-CN"/>
                        </w:rPr>
                        <w:t>XXXX</w:t>
                      </w:r>
                    </w:p>
                  </w:txbxContent>
                </v:textbox>
              </v:shap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-85725</wp:posOffset>
                </wp:positionH>
                <wp:positionV relativeFrom="paragraph">
                  <wp:posOffset>1644650</wp:posOffset>
                </wp:positionV>
                <wp:extent cx="6120130" cy="0"/>
                <wp:effectExtent l="0" t="7620" r="1270" b="11430"/>
                <wp:wrapNone/>
                <wp:docPr id="6" name="直线 6"/>
                <wp:cNvGraphicFramePr/>
                <a:graphic xmlns:a="http://schemas.openxmlformats.org/drawingml/2006/main">
                  <a:graphicData uri="http://schemas.microsoft.com/office/word/2010/wordprocessingShape">
                    <wps:wsp>
                      <wps:cNvCnPr/>
                      <wps:spPr>
                        <a:xfrm>
                          <a:off x="0" y="0"/>
                          <a:ext cx="6120130"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6.75pt;margin-top:129.5pt;height:0pt;width:481.9pt;z-index:251660288;mso-width-relative:page;mso-height-relative:page;" filled="f" stroked="t" coordsize="21600,21600" o:gfxdata="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pwhHd&#10;2QAAAAsBAAAPAAAAAAAAAAEAIAAAACIAAABkcnMvZG93bnJldi54bWxQSwECFAAUAAAACACHTuJA&#10;waDHlOcBAADcAwAADgAAAAAAAAABACAAAAAoAQAAZHJzL2Uyb0RvYy54bWxQSwUGAAAAAAYABgBZ&#10;AQAAgQUAAAAA&#10;">
                <v:fill on="f" focussize="0,0"/>
                <v:stroke weight="1.25pt" color="#000000" joinstyle="round"/>
                <v:imagedata o:title=""/>
                <o:lock v:ext="edit" aspectratio="f"/>
              </v:lin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-390525</wp:posOffset>
                </wp:positionH>
                <wp:positionV relativeFrom="paragraph">
                  <wp:posOffset>7805420</wp:posOffset>
                </wp:positionV>
                <wp:extent cx="1669415" cy="474980"/>
                <wp:effectExtent l="0" t="0" r="6985" b="7620"/>
                <wp:wrapNone/>
                <wp:docPr id="7" name="文本框 4"/>
                <wp:cNvGraphicFramePr/>
                <a:graphic xmlns:a="http://schemas.openxmlformats.org/drawingml/2006/main">
                  <a:graphicData uri="http://schemas.microsoft.com/office/word/2010/wordprocessingShape">
                    <wps:wsp>
                      <wps:cNvSpPr txBox="1"/>
                      <wps:spPr>
                        <a:xfrm>
                          <a:off x="0" y="0"/>
                          <a:ext cx="1669415" cy="474980"/>
                        </a:xfrm>
                        <a:prstGeom prst="rect">
                          <a:avLst/>
                        </a:prstGeom>
                        <a:solidFill>
                          <a:srgbClr val="FFFFFF"/>
                        </a:solidFill>
                        <a:ln>
                          <a:noFill/>
                        </a:ln>
                      </wps:spPr>
                      <wps:txbx>
                        <w:txbxContent>
                          <w:p w14:paraId="43088BE6">
                            <w:pPr>
                              <w:ind w:firstLine="280" w:firstLineChars="100"/>
                              <w:rPr>
                                <w:rFonts w:ascii="黑体" w:hAnsi="黑体" w:eastAsia="黑体"/>
                                <w:sz w:val="28"/>
                                <w:szCs w:val="28"/>
                                <w:highlight w:val="none"/>
                              </w:rPr>
                            </w:pPr>
                            <w:r>
                              <w:rPr>
                                <w:rFonts w:hint="eastAsia" w:ascii="黑体" w:hAnsi="黑体"/>
                                <w:sz w:val="28"/>
                                <w:szCs w:val="28"/>
                                <w:highlight w:val="none"/>
                                <w:lang w:val="en-US" w:eastAsia="zh-CN"/>
                              </w:rPr>
                              <w:t>XXXX</w:t>
                            </w:r>
                            <w:r>
                              <w:rPr>
                                <w:rFonts w:ascii="黑体" w:hAnsi="黑体"/>
                                <w:sz w:val="28"/>
                                <w:szCs w:val="28"/>
                                <w:highlight w:val="none"/>
                              </w:rPr>
                              <w:t>-</w:t>
                            </w:r>
                            <w:r>
                              <w:rPr>
                                <w:rFonts w:hint="eastAsia" w:ascii="黑体" w:hAnsi="黑体"/>
                                <w:sz w:val="28"/>
                                <w:szCs w:val="28"/>
                                <w:highlight w:val="none"/>
                                <w:lang w:val="en-US" w:eastAsia="zh-CN"/>
                              </w:rPr>
                              <w:t>XX</w:t>
                            </w:r>
                            <w:r>
                              <w:rPr>
                                <w:rFonts w:ascii="黑体" w:hAnsi="黑体"/>
                                <w:sz w:val="28"/>
                                <w:szCs w:val="28"/>
                                <w:highlight w:val="none"/>
                              </w:rPr>
                              <w:t>-</w:t>
                            </w:r>
                            <w:r>
                              <w:rPr>
                                <w:rFonts w:hint="eastAsia" w:ascii="黑体" w:hAnsi="黑体"/>
                                <w:sz w:val="28"/>
                                <w:szCs w:val="28"/>
                                <w:highlight w:val="none"/>
                                <w:lang w:val="en-US" w:eastAsia="zh-CN"/>
                              </w:rPr>
                              <w:t>XX</w:t>
                            </w:r>
                            <w:r>
                              <w:rPr>
                                <w:rFonts w:hint="eastAsia" w:ascii="黑体" w:hAnsi="黑体" w:eastAsia="黑体"/>
                                <w:sz w:val="28"/>
                                <w:szCs w:val="28"/>
                                <w:highlight w:val="none"/>
                              </w:rPr>
                              <w:t>发布</w:t>
                            </w:r>
                          </w:p>
                        </w:txbxContent>
                      </wps:txbx>
                      <wps:bodyPr upright="1"/>
                    </wps:wsp>
                  </a:graphicData>
                </a:graphic>
              </wp:anchor>
            </w:drawing>
          </mc:Choice>
          <mc:Fallback>
            <w:pict>
              <v:shape id="文本框 4" o:spid="_x0000_s1026" o:spt="202" type="#_x0000_t202" style="position:absolute;left:0pt;margin-left:-30.75pt;margin-top:614.6pt;height:37.4pt;width:131.45pt;z-index:251660288;mso-width-relative:page;mso-height-relative:page;" fillcolor="#FFFFFF" filled="t" stroked="f" coordsize="21600,21600" o:gfxdata="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bbRVXaAAAADQEAAA8AAAAAAAAAAQAgAAAAIgAAAGRycy9kb3du&#10;cmV2LnhtbFBLAQIUABQAAAAIAIdO4kB3F5WtxAEAAHcDAAAOAAAAAAAAAAEAIAAAACkBAABkcnMv&#10;ZTJvRG9jLnhtbFBLBQYAAAAABgAGAFkBAABfBQAAAAA=&#10;">
                <v:fill on="t" focussize="0,0"/>
                <v:stroke on="f"/>
                <v:imagedata o:title=""/>
                <o:lock v:ext="edit" aspectratio="f"/>
                <v:textbox>
                  <w:txbxContent>
                    <w:p w14:paraId="43088BE6">
                      <w:pPr>
                        <w:ind w:firstLine="280" w:firstLineChars="100"/>
                        <w:rPr>
                          <w:rFonts w:ascii="黑体" w:hAnsi="黑体" w:eastAsia="黑体"/>
                          <w:sz w:val="28"/>
                          <w:szCs w:val="28"/>
                          <w:highlight w:val="none"/>
                        </w:rPr>
                      </w:pPr>
                      <w:r>
                        <w:rPr>
                          <w:rFonts w:hint="eastAsia" w:ascii="黑体" w:hAnsi="黑体"/>
                          <w:sz w:val="28"/>
                          <w:szCs w:val="28"/>
                          <w:highlight w:val="none"/>
                          <w:lang w:val="en-US" w:eastAsia="zh-CN"/>
                        </w:rPr>
                        <w:t>XXXX</w:t>
                      </w:r>
                      <w:r>
                        <w:rPr>
                          <w:rFonts w:ascii="黑体" w:hAnsi="黑体"/>
                          <w:sz w:val="28"/>
                          <w:szCs w:val="28"/>
                          <w:highlight w:val="none"/>
                        </w:rPr>
                        <w:t>-</w:t>
                      </w:r>
                      <w:r>
                        <w:rPr>
                          <w:rFonts w:hint="eastAsia" w:ascii="黑体" w:hAnsi="黑体"/>
                          <w:sz w:val="28"/>
                          <w:szCs w:val="28"/>
                          <w:highlight w:val="none"/>
                          <w:lang w:val="en-US" w:eastAsia="zh-CN"/>
                        </w:rPr>
                        <w:t>XX</w:t>
                      </w:r>
                      <w:r>
                        <w:rPr>
                          <w:rFonts w:ascii="黑体" w:hAnsi="黑体"/>
                          <w:sz w:val="28"/>
                          <w:szCs w:val="28"/>
                          <w:highlight w:val="none"/>
                        </w:rPr>
                        <w:t>-</w:t>
                      </w:r>
                      <w:r>
                        <w:rPr>
                          <w:rFonts w:hint="eastAsia" w:ascii="黑体" w:hAnsi="黑体"/>
                          <w:sz w:val="28"/>
                          <w:szCs w:val="28"/>
                          <w:highlight w:val="none"/>
                          <w:lang w:val="en-US" w:eastAsia="zh-CN"/>
                        </w:rPr>
                        <w:t>XX</w:t>
                      </w:r>
                      <w:r>
                        <w:rPr>
                          <w:rFonts w:hint="eastAsia" w:ascii="黑体" w:hAnsi="黑体" w:eastAsia="黑体"/>
                          <w:sz w:val="28"/>
                          <w:szCs w:val="28"/>
                          <w:highlight w:val="none"/>
                        </w:rPr>
                        <w:t>发布</w:t>
                      </w:r>
                    </w:p>
                  </w:txbxContent>
                </v:textbox>
              </v:shap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4408170</wp:posOffset>
                </wp:positionH>
                <wp:positionV relativeFrom="paragraph">
                  <wp:posOffset>7805420</wp:posOffset>
                </wp:positionV>
                <wp:extent cx="1530985" cy="474980"/>
                <wp:effectExtent l="0" t="0" r="5715" b="7620"/>
                <wp:wrapNone/>
                <wp:docPr id="8" name="文本框 2"/>
                <wp:cNvGraphicFramePr/>
                <a:graphic xmlns:a="http://schemas.openxmlformats.org/drawingml/2006/main">
                  <a:graphicData uri="http://schemas.microsoft.com/office/word/2010/wordprocessingShape">
                    <wps:wsp>
                      <wps:cNvSpPr txBox="1"/>
                      <wps:spPr>
                        <a:xfrm>
                          <a:off x="0" y="0"/>
                          <a:ext cx="1530985" cy="474980"/>
                        </a:xfrm>
                        <a:prstGeom prst="rect">
                          <a:avLst/>
                        </a:prstGeom>
                        <a:solidFill>
                          <a:srgbClr val="FFFFFF"/>
                        </a:solidFill>
                        <a:ln>
                          <a:noFill/>
                        </a:ln>
                      </wps:spPr>
                      <wps:txbx>
                        <w:txbxContent>
                          <w:p w14:paraId="7900D3FF">
                            <w:pPr>
                              <w:rPr>
                                <w:rFonts w:ascii="黑体" w:hAnsi="黑体" w:eastAsia="黑体"/>
                                <w:sz w:val="28"/>
                                <w:szCs w:val="28"/>
                                <w:highlight w:val="none"/>
                              </w:rPr>
                            </w:pPr>
                            <w:r>
                              <w:rPr>
                                <w:rFonts w:hint="eastAsia" w:ascii="黑体" w:hAnsi="黑体"/>
                                <w:sz w:val="28"/>
                                <w:szCs w:val="28"/>
                                <w:highlight w:val="none"/>
                                <w:lang w:val="en-US" w:eastAsia="zh-CN"/>
                              </w:rPr>
                              <w:t>XXXX</w:t>
                            </w:r>
                            <w:r>
                              <w:rPr>
                                <w:rFonts w:ascii="黑体" w:hAnsi="黑体"/>
                                <w:sz w:val="28"/>
                                <w:szCs w:val="28"/>
                                <w:highlight w:val="none"/>
                              </w:rPr>
                              <w:t>-</w:t>
                            </w:r>
                            <w:r>
                              <w:rPr>
                                <w:rFonts w:hint="eastAsia" w:ascii="黑体" w:hAnsi="黑体"/>
                                <w:sz w:val="28"/>
                                <w:szCs w:val="28"/>
                                <w:highlight w:val="none"/>
                                <w:lang w:val="en-US" w:eastAsia="zh-CN"/>
                              </w:rPr>
                              <w:t>XX</w:t>
                            </w:r>
                            <w:r>
                              <w:rPr>
                                <w:rFonts w:ascii="黑体" w:hAnsi="黑体"/>
                                <w:sz w:val="28"/>
                                <w:szCs w:val="28"/>
                                <w:highlight w:val="none"/>
                              </w:rPr>
                              <w:t>-</w:t>
                            </w:r>
                            <w:r>
                              <w:rPr>
                                <w:rFonts w:hint="eastAsia" w:ascii="黑体" w:hAnsi="黑体"/>
                                <w:sz w:val="28"/>
                                <w:szCs w:val="28"/>
                                <w:highlight w:val="none"/>
                                <w:lang w:val="en-US" w:eastAsia="zh-CN"/>
                              </w:rPr>
                              <w:t>XX</w:t>
                            </w:r>
                            <w:r>
                              <w:rPr>
                                <w:rFonts w:hint="eastAsia" w:ascii="黑体" w:hAnsi="黑体" w:eastAsia="黑体"/>
                                <w:sz w:val="28"/>
                                <w:szCs w:val="28"/>
                                <w:highlight w:val="none"/>
                              </w:rPr>
                              <w:t>实施</w:t>
                            </w:r>
                          </w:p>
                        </w:txbxContent>
                      </wps:txbx>
                      <wps:bodyPr upright="1"/>
                    </wps:wsp>
                  </a:graphicData>
                </a:graphic>
              </wp:anchor>
            </w:drawing>
          </mc:Choice>
          <mc:Fallback>
            <w:pict>
              <v:shape id="文本框 2" o:spid="_x0000_s1026" o:spt="202" type="#_x0000_t202" style="position:absolute;left:0pt;margin-left:347.1pt;margin-top:614.6pt;height:37.4pt;width:120.55pt;z-index:251660288;mso-width-relative:page;mso-height-relative:page;" fillcolor="#FFFFFF" filled="t" stroked="f" coordsize="21600,21600" o:gfxdata="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k9ip9oAAAANAQAADwAAAAAAAAABACAAAAAiAAAAZHJzL2Rvd25y&#10;ZXYueG1sUEsBAhQAFAAAAAgAh07iQPhpgtTDAQAAdwMAAA4AAAAAAAAAAQAgAAAAKQEAAGRycy9l&#10;Mm9Eb2MueG1sUEsFBgAAAAAGAAYAWQEAAF4FAAAAAA==&#10;">
                <v:fill on="t" focussize="0,0"/>
                <v:stroke on="f"/>
                <v:imagedata o:title=""/>
                <o:lock v:ext="edit" aspectratio="f"/>
                <v:textbox>
                  <w:txbxContent>
                    <w:p w14:paraId="7900D3FF">
                      <w:pPr>
                        <w:rPr>
                          <w:rFonts w:ascii="黑体" w:hAnsi="黑体" w:eastAsia="黑体"/>
                          <w:sz w:val="28"/>
                          <w:szCs w:val="28"/>
                          <w:highlight w:val="none"/>
                        </w:rPr>
                      </w:pPr>
                      <w:r>
                        <w:rPr>
                          <w:rFonts w:hint="eastAsia" w:ascii="黑体" w:hAnsi="黑体"/>
                          <w:sz w:val="28"/>
                          <w:szCs w:val="28"/>
                          <w:highlight w:val="none"/>
                          <w:lang w:val="en-US" w:eastAsia="zh-CN"/>
                        </w:rPr>
                        <w:t>XXXX</w:t>
                      </w:r>
                      <w:r>
                        <w:rPr>
                          <w:rFonts w:ascii="黑体" w:hAnsi="黑体"/>
                          <w:sz w:val="28"/>
                          <w:szCs w:val="28"/>
                          <w:highlight w:val="none"/>
                        </w:rPr>
                        <w:t>-</w:t>
                      </w:r>
                      <w:r>
                        <w:rPr>
                          <w:rFonts w:hint="eastAsia" w:ascii="黑体" w:hAnsi="黑体"/>
                          <w:sz w:val="28"/>
                          <w:szCs w:val="28"/>
                          <w:highlight w:val="none"/>
                          <w:lang w:val="en-US" w:eastAsia="zh-CN"/>
                        </w:rPr>
                        <w:t>XX</w:t>
                      </w:r>
                      <w:r>
                        <w:rPr>
                          <w:rFonts w:ascii="黑体" w:hAnsi="黑体"/>
                          <w:sz w:val="28"/>
                          <w:szCs w:val="28"/>
                          <w:highlight w:val="none"/>
                        </w:rPr>
                        <w:t>-</w:t>
                      </w:r>
                      <w:r>
                        <w:rPr>
                          <w:rFonts w:hint="eastAsia" w:ascii="黑体" w:hAnsi="黑体"/>
                          <w:sz w:val="28"/>
                          <w:szCs w:val="28"/>
                          <w:highlight w:val="none"/>
                          <w:lang w:val="en-US" w:eastAsia="zh-CN"/>
                        </w:rPr>
                        <w:t>XX</w:t>
                      </w:r>
                      <w:r>
                        <w:rPr>
                          <w:rFonts w:hint="eastAsia" w:ascii="黑体" w:hAnsi="黑体" w:eastAsia="黑体"/>
                          <w:sz w:val="28"/>
                          <w:szCs w:val="28"/>
                          <w:highlight w:val="none"/>
                        </w:rPr>
                        <w:t>实施</w:t>
                      </w:r>
                    </w:p>
                  </w:txbxContent>
                </v:textbox>
              </v:shape>
            </w:pict>
          </mc:Fallback>
        </mc:AlternateContent>
      </w:r>
    </w:p>
    <w:p w14:paraId="5A1E394F">
      <w:pPr>
        <w:widowControl/>
        <w:jc w:val="center"/>
        <w:outlineLvl w:val="0"/>
        <w:rPr>
          <w:rFonts w:hint="eastAsia" w:ascii="黑体" w:hAnsi="黑体" w:eastAsia="黑体" w:cs="黑体"/>
          <w:b w:val="0"/>
          <w:bCs/>
          <w:color w:val="auto"/>
          <w:sz w:val="32"/>
          <w:szCs w:val="52"/>
          <w:lang w:val="en-US" w:eastAsia="zh-CN"/>
        </w:rPr>
      </w:pPr>
    </w:p>
    <w:p w14:paraId="06662FE2">
      <w:pPr>
        <w:widowControl/>
        <w:jc w:val="center"/>
        <w:outlineLvl w:val="0"/>
        <w:rPr>
          <w:rFonts w:ascii="仿宋" w:hAnsi="仿宋" w:eastAsia="仿宋"/>
          <w:b/>
          <w:color w:val="auto"/>
          <w:kern w:val="0"/>
          <w:sz w:val="44"/>
          <w:szCs w:val="52"/>
        </w:rPr>
      </w:pPr>
      <w:bookmarkStart w:id="1" w:name="_Toc31569"/>
      <w:bookmarkStart w:id="2" w:name="_Toc11669"/>
      <w:r>
        <w:rPr>
          <w:rFonts w:hint="eastAsia" w:ascii="黑体" w:hAnsi="黑体" w:eastAsia="黑体" w:cs="黑体"/>
          <w:b w:val="0"/>
          <w:bCs/>
          <w:color w:val="auto"/>
          <w:sz w:val="32"/>
          <w:szCs w:val="52"/>
        </w:rPr>
        <w:t>前  言</w:t>
      </w:r>
      <w:bookmarkEnd w:id="1"/>
      <w:bookmarkEnd w:id="2"/>
    </w:p>
    <w:p w14:paraId="6D1440A2">
      <w:pPr>
        <w:keepNext w:val="0"/>
        <w:keepLines w:val="0"/>
        <w:pageBreakBefore w:val="0"/>
        <w:widowControl w:val="0"/>
        <w:kinsoku/>
        <w:wordWrap/>
        <w:overflowPunct/>
        <w:topLinePunct w:val="0"/>
        <w:autoSpaceDE/>
        <w:autoSpaceDN/>
        <w:bidi w:val="0"/>
        <w:adjustRightInd/>
        <w:snapToGrid/>
        <w:spacing w:line="680" w:lineRule="exact"/>
        <w:jc w:val="left"/>
        <w:textAlignment w:val="auto"/>
        <w:rPr>
          <w:color w:val="auto"/>
          <w:sz w:val="32"/>
          <w:szCs w:val="32"/>
        </w:rPr>
      </w:pPr>
    </w:p>
    <w:p w14:paraId="05BE6068">
      <w:pPr>
        <w:pStyle w:val="27"/>
        <w:rPr>
          <w:color w:val="auto"/>
        </w:rPr>
      </w:pPr>
      <w:r>
        <w:rPr>
          <w:rFonts w:hint="eastAsia"/>
          <w:color w:val="auto"/>
          <w:lang w:val="en-US" w:eastAsia="zh-CN"/>
        </w:rPr>
        <w:t>本文件</w:t>
      </w:r>
      <w:r>
        <w:rPr>
          <w:rFonts w:hint="eastAsia"/>
          <w:color w:val="auto"/>
        </w:rPr>
        <w:t>按照</w:t>
      </w:r>
      <w:r>
        <w:rPr>
          <w:color w:val="auto"/>
        </w:rPr>
        <w:t>GB/T 1.1-20</w:t>
      </w:r>
      <w:r>
        <w:rPr>
          <w:rFonts w:hint="eastAsia"/>
          <w:color w:val="auto"/>
        </w:rPr>
        <w:t>20《标准化工作导则 第1部分：标准化文件的结构和起草规则》</w:t>
      </w:r>
      <w:r>
        <w:rPr>
          <w:rFonts w:hint="eastAsia"/>
          <w:color w:val="auto"/>
          <w:szCs w:val="21"/>
          <w:lang w:val="en-US" w:eastAsia="zh-CN"/>
        </w:rPr>
        <w:t>起草</w:t>
      </w:r>
      <w:r>
        <w:rPr>
          <w:rFonts w:hint="eastAsia"/>
          <w:color w:val="auto"/>
        </w:rPr>
        <w:t>。</w:t>
      </w:r>
    </w:p>
    <w:p w14:paraId="72AD58A7">
      <w:pPr>
        <w:ind w:firstLine="420" w:firstLineChars="200"/>
        <w:jc w:val="left"/>
        <w:rPr>
          <w:color w:val="auto"/>
          <w:szCs w:val="21"/>
        </w:rPr>
      </w:pPr>
      <w:r>
        <w:rPr>
          <w:rFonts w:hint="eastAsia"/>
          <w:color w:val="auto"/>
          <w:szCs w:val="21"/>
        </w:rPr>
        <w:t>请注意本文件的某些内容可能涉及专利。本文件的发布机构不承担识别专利的责任。</w:t>
      </w:r>
    </w:p>
    <w:p w14:paraId="0E438E8C">
      <w:pPr>
        <w:ind w:firstLine="420" w:firstLineChars="200"/>
        <w:jc w:val="left"/>
        <w:rPr>
          <w:color w:val="auto"/>
          <w:szCs w:val="21"/>
        </w:rPr>
      </w:pPr>
      <w:r>
        <w:rPr>
          <w:rFonts w:hint="eastAsia"/>
          <w:color w:val="auto"/>
          <w:szCs w:val="21"/>
        </w:rPr>
        <w:t>本文件由</w:t>
      </w:r>
      <w:r>
        <w:rPr>
          <w:rFonts w:hint="eastAsia"/>
          <w:color w:val="auto"/>
          <w:szCs w:val="21"/>
          <w:lang w:val="en-US" w:eastAsia="zh-CN"/>
        </w:rPr>
        <w:t>广东省能源局</w:t>
      </w:r>
      <w:r>
        <w:rPr>
          <w:rFonts w:hint="eastAsia"/>
          <w:color w:val="auto"/>
          <w:szCs w:val="21"/>
        </w:rPr>
        <w:t>提出。</w:t>
      </w:r>
    </w:p>
    <w:p w14:paraId="38D56470">
      <w:pPr>
        <w:ind w:firstLine="420" w:firstLineChars="200"/>
        <w:jc w:val="left"/>
        <w:rPr>
          <w:color w:val="auto"/>
          <w:szCs w:val="21"/>
        </w:rPr>
      </w:pPr>
      <w:r>
        <w:rPr>
          <w:color w:val="auto"/>
          <w:szCs w:val="21"/>
        </w:rPr>
        <w:t>本</w:t>
      </w:r>
      <w:r>
        <w:rPr>
          <w:rFonts w:hint="eastAsia"/>
          <w:color w:val="auto"/>
          <w:szCs w:val="21"/>
        </w:rPr>
        <w:t>文件</w:t>
      </w:r>
      <w:r>
        <w:rPr>
          <w:color w:val="auto"/>
          <w:szCs w:val="21"/>
        </w:rPr>
        <w:t>由</w:t>
      </w:r>
      <w:r>
        <w:rPr>
          <w:rFonts w:hint="eastAsia"/>
          <w:color w:val="auto"/>
          <w:szCs w:val="21"/>
        </w:rPr>
        <w:t>广东省石油和化学工业协会</w:t>
      </w:r>
      <w:r>
        <w:rPr>
          <w:color w:val="auto"/>
          <w:szCs w:val="21"/>
        </w:rPr>
        <w:t>归口。</w:t>
      </w:r>
    </w:p>
    <w:p w14:paraId="603802F6">
      <w:pPr>
        <w:ind w:left="105" w:leftChars="50" w:firstLine="315" w:firstLineChars="150"/>
        <w:jc w:val="left"/>
        <w:rPr>
          <w:color w:val="auto"/>
          <w:szCs w:val="21"/>
          <w:highlight w:val="none"/>
        </w:rPr>
      </w:pPr>
      <w:r>
        <w:rPr>
          <w:color w:val="auto"/>
          <w:szCs w:val="21"/>
        </w:rPr>
        <w:t>本</w:t>
      </w:r>
      <w:r>
        <w:rPr>
          <w:rFonts w:hint="eastAsia"/>
          <w:color w:val="auto"/>
          <w:szCs w:val="21"/>
        </w:rPr>
        <w:t>文件</w:t>
      </w:r>
      <w:r>
        <w:rPr>
          <w:color w:val="auto"/>
          <w:szCs w:val="21"/>
        </w:rPr>
        <w:t>起草单</w:t>
      </w:r>
      <w:r>
        <w:rPr>
          <w:color w:val="auto"/>
          <w:szCs w:val="21"/>
          <w:highlight w:val="none"/>
        </w:rPr>
        <w:t>位：</w:t>
      </w:r>
      <w:r>
        <w:rPr>
          <w:rFonts w:hint="eastAsia"/>
          <w:color w:val="auto"/>
          <w:szCs w:val="21"/>
          <w:highlight w:val="none"/>
          <w:lang w:val="en-US" w:eastAsia="zh-CN"/>
        </w:rPr>
        <w:t>XXX</w:t>
      </w:r>
      <w:r>
        <w:rPr>
          <w:rFonts w:hint="eastAsia"/>
          <w:color w:val="auto"/>
          <w:szCs w:val="21"/>
          <w:highlight w:val="none"/>
        </w:rPr>
        <w:t>。</w:t>
      </w:r>
    </w:p>
    <w:p w14:paraId="12F0D65C">
      <w:pPr>
        <w:ind w:left="105" w:leftChars="50" w:firstLine="315" w:firstLineChars="150"/>
        <w:jc w:val="left"/>
        <w:rPr>
          <w:rFonts w:hint="eastAsia"/>
          <w:color w:val="auto"/>
          <w:szCs w:val="21"/>
          <w:highlight w:val="none"/>
        </w:rPr>
      </w:pPr>
      <w:r>
        <w:rPr>
          <w:rFonts w:hint="eastAsia"/>
          <w:color w:val="auto"/>
          <w:szCs w:val="21"/>
          <w:highlight w:val="none"/>
        </w:rPr>
        <w:t>本文件主要起草人：</w:t>
      </w:r>
      <w:r>
        <w:rPr>
          <w:rFonts w:hint="eastAsia"/>
          <w:color w:val="auto"/>
          <w:szCs w:val="21"/>
          <w:highlight w:val="none"/>
          <w:lang w:val="en-US" w:eastAsia="zh-CN"/>
        </w:rPr>
        <w:t>XXX</w:t>
      </w:r>
      <w:r>
        <w:rPr>
          <w:rFonts w:hint="eastAsia"/>
          <w:color w:val="auto"/>
          <w:szCs w:val="21"/>
          <w:highlight w:val="none"/>
        </w:rPr>
        <w:t>。</w:t>
      </w:r>
    </w:p>
    <w:p w14:paraId="1EB5D1E1">
      <w:pPr>
        <w:ind w:left="105" w:leftChars="50" w:firstLine="315" w:firstLineChars="150"/>
        <w:jc w:val="left"/>
        <w:rPr>
          <w:color w:val="auto"/>
          <w:szCs w:val="21"/>
          <w:highlight w:val="none"/>
        </w:rPr>
      </w:pPr>
      <w:r>
        <w:rPr>
          <w:rFonts w:hint="eastAsia"/>
          <w:color w:val="auto"/>
          <w:szCs w:val="21"/>
          <w:highlight w:val="none"/>
        </w:rPr>
        <w:t>本文件主要审查人：</w:t>
      </w:r>
      <w:r>
        <w:rPr>
          <w:rFonts w:hint="eastAsia"/>
          <w:color w:val="auto"/>
          <w:szCs w:val="21"/>
          <w:highlight w:val="none"/>
          <w:lang w:val="en-US" w:eastAsia="zh-CN"/>
        </w:rPr>
        <w:t>XXX</w:t>
      </w:r>
      <w:r>
        <w:rPr>
          <w:rFonts w:hint="eastAsia"/>
          <w:color w:val="auto"/>
          <w:szCs w:val="21"/>
          <w:highlight w:val="none"/>
        </w:rPr>
        <w:t>。</w:t>
      </w:r>
    </w:p>
    <w:p w14:paraId="07957891">
      <w:pPr>
        <w:pStyle w:val="27"/>
        <w:rPr>
          <w:rFonts w:hint="eastAsia"/>
          <w:color w:val="auto"/>
          <w:lang w:val="en-US" w:eastAsia="zh-CN"/>
        </w:rPr>
      </w:pPr>
    </w:p>
    <w:p w14:paraId="2A04C961">
      <w:pPr>
        <w:pStyle w:val="27"/>
        <w:rPr>
          <w:rFonts w:hint="eastAsia"/>
          <w:color w:val="auto"/>
          <w:lang w:val="en-US" w:eastAsia="zh-CN"/>
        </w:rPr>
      </w:pPr>
    </w:p>
    <w:p w14:paraId="74441D76">
      <w:pPr>
        <w:pStyle w:val="27"/>
        <w:ind w:left="105" w:leftChars="50" w:firstLine="315" w:firstLineChars="150"/>
        <w:rPr>
          <w:rFonts w:hint="eastAsia"/>
          <w:color w:val="auto"/>
        </w:rPr>
        <w:sectPr>
          <w:footerReference r:id="rId8" w:type="default"/>
          <w:pgSz w:w="11906" w:h="16838"/>
          <w:pgMar w:top="567" w:right="1134" w:bottom="1134" w:left="1418" w:header="1418" w:footer="1134" w:gutter="0"/>
          <w:pgBorders w:offsetFrom="page">
            <w:top w:val="none" w:sz="0" w:space="0"/>
            <w:left w:val="none" w:sz="0" w:space="0"/>
            <w:bottom w:val="none" w:sz="0" w:space="0"/>
            <w:right w:val="none" w:sz="0" w:space="0"/>
          </w:pgBorders>
          <w:pgNumType w:fmt="upperRoman" w:start="1"/>
          <w:cols w:space="425" w:num="1"/>
          <w:formProt w:val="0"/>
          <w:docGrid w:type="lines" w:linePitch="312" w:charSpace="0"/>
        </w:sectPr>
      </w:pPr>
    </w:p>
    <w:p w14:paraId="6DC2CD16">
      <w:pPr>
        <w:pStyle w:val="23"/>
        <w:spacing w:before="0" w:line="680" w:lineRule="exact"/>
        <w:rPr>
          <w:color w:val="auto"/>
          <w:szCs w:val="32"/>
        </w:rPr>
      </w:pPr>
    </w:p>
    <w:p w14:paraId="528F263B">
      <w:pPr>
        <w:pStyle w:val="23"/>
        <w:spacing w:before="0" w:line="680" w:lineRule="exact"/>
        <w:outlineLvl w:val="0"/>
        <w:rPr>
          <w:rFonts w:hint="eastAsia" w:ascii="仿宋" w:hAnsi="仿宋" w:eastAsia="仿宋"/>
          <w:b/>
          <w:bCs/>
          <w:color w:val="auto"/>
          <w:sz w:val="32"/>
          <w:szCs w:val="32"/>
          <w:lang w:eastAsia="zh-CN"/>
        </w:rPr>
      </w:pPr>
      <w:r>
        <w:rPr>
          <w:rFonts w:hint="eastAsia" w:ascii="Times New Roman" w:hAnsi="Times New Roman" w:cs="Times New Roman"/>
          <w:b w:val="0"/>
          <w:bCs/>
          <w:color w:val="auto"/>
          <w:sz w:val="32"/>
          <w:szCs w:val="32"/>
          <w:lang w:val="en-US" w:eastAsia="zh-CN"/>
        </w:rPr>
        <w:t>丙烯酸单位产品能耗和碳排放限额</w:t>
      </w:r>
    </w:p>
    <w:p w14:paraId="728999D2">
      <w:pPr>
        <w:pStyle w:val="39"/>
        <w:keepNext w:val="0"/>
        <w:keepLines w:val="0"/>
        <w:pageBreakBefore w:val="0"/>
        <w:numPr>
          <w:ilvl w:val="0"/>
          <w:numId w:val="0"/>
        </w:numPr>
        <w:kinsoku/>
        <w:wordWrap/>
        <w:overflowPunct/>
        <w:topLinePunct w:val="0"/>
        <w:bidi w:val="0"/>
        <w:adjustRightInd/>
        <w:snapToGrid w:val="0"/>
        <w:spacing w:before="312" w:after="312"/>
        <w:textAlignment w:val="auto"/>
        <w:outlineLvl w:val="0"/>
        <w:rPr>
          <w:rFonts w:hint="eastAsia" w:eastAsia="黑体"/>
          <w:color w:val="auto"/>
          <w:lang w:eastAsia="zh-CN"/>
        </w:rPr>
      </w:pPr>
      <w:bookmarkStart w:id="3" w:name="_Toc27581"/>
      <w:r>
        <w:rPr>
          <w:rFonts w:hint="eastAsia"/>
          <w:color w:val="auto"/>
        </w:rPr>
        <w:t xml:space="preserve">1 </w:t>
      </w:r>
      <w:r>
        <w:rPr>
          <w:rFonts w:hint="eastAsia"/>
          <w:color w:val="auto"/>
          <w:lang w:val="en-US" w:eastAsia="zh-CN"/>
        </w:rPr>
        <w:t xml:space="preserve"> </w:t>
      </w:r>
      <w:r>
        <w:rPr>
          <w:color w:val="auto"/>
        </w:rPr>
        <w:t>范围</w:t>
      </w:r>
      <w:bookmarkEnd w:id="3"/>
    </w:p>
    <w:p w14:paraId="56A21D1E">
      <w:pPr>
        <w:keepNext w:val="0"/>
        <w:keepLines w:val="0"/>
        <w:pageBreakBefore w:val="0"/>
        <w:kinsoku/>
        <w:wordWrap/>
        <w:overflowPunct/>
        <w:topLinePunct w:val="0"/>
        <w:bidi w:val="0"/>
        <w:adjustRightInd/>
        <w:snapToGrid w:val="0"/>
        <w:ind w:firstLine="420" w:firstLineChars="200"/>
        <w:jc w:val="left"/>
        <w:textAlignment w:val="auto"/>
        <w:rPr>
          <w:rFonts w:hint="eastAsia"/>
          <w:color w:val="auto"/>
          <w:szCs w:val="21"/>
          <w:lang w:val="en-US" w:eastAsia="zh-CN"/>
        </w:rPr>
      </w:pPr>
      <w:r>
        <w:rPr>
          <w:color w:val="auto"/>
          <w:szCs w:val="21"/>
        </w:rPr>
        <w:t>本</w:t>
      </w:r>
      <w:r>
        <w:rPr>
          <w:rFonts w:hint="eastAsia"/>
          <w:color w:val="auto"/>
          <w:szCs w:val="21"/>
        </w:rPr>
        <w:t>文件</w:t>
      </w:r>
      <w:r>
        <w:rPr>
          <w:color w:val="auto"/>
          <w:szCs w:val="21"/>
        </w:rPr>
        <w:t>规定了</w:t>
      </w:r>
      <w:r>
        <w:rPr>
          <w:rFonts w:hint="eastAsia"/>
          <w:color w:val="auto"/>
          <w:szCs w:val="21"/>
          <w:lang w:val="en-US" w:eastAsia="zh-CN"/>
        </w:rPr>
        <w:t>丙烯酸单位产品综合能耗和单位产品二氧化碳排放的限额等级、指标要求、统计范围、计算方法。</w:t>
      </w:r>
    </w:p>
    <w:p w14:paraId="7986D696">
      <w:pPr>
        <w:keepNext w:val="0"/>
        <w:keepLines w:val="0"/>
        <w:pageBreakBefore w:val="0"/>
        <w:kinsoku/>
        <w:wordWrap/>
        <w:overflowPunct/>
        <w:topLinePunct w:val="0"/>
        <w:bidi w:val="0"/>
        <w:adjustRightInd/>
        <w:snapToGrid w:val="0"/>
        <w:ind w:firstLine="420" w:firstLineChars="200"/>
        <w:jc w:val="left"/>
        <w:textAlignment w:val="auto"/>
        <w:rPr>
          <w:rFonts w:hint="eastAsia" w:eastAsia="宋体"/>
          <w:color w:val="auto"/>
          <w:szCs w:val="21"/>
          <w:lang w:eastAsia="zh-CN"/>
        </w:rPr>
      </w:pPr>
      <w:r>
        <w:rPr>
          <w:color w:val="auto"/>
          <w:szCs w:val="21"/>
        </w:rPr>
        <w:t>本</w:t>
      </w:r>
      <w:r>
        <w:rPr>
          <w:rFonts w:hint="eastAsia"/>
          <w:color w:val="auto"/>
          <w:szCs w:val="21"/>
        </w:rPr>
        <w:t>文件</w:t>
      </w:r>
      <w:r>
        <w:rPr>
          <w:color w:val="auto"/>
          <w:szCs w:val="21"/>
        </w:rPr>
        <w:t>适用于</w:t>
      </w:r>
      <w:r>
        <w:rPr>
          <w:rFonts w:hint="eastAsia"/>
          <w:color w:val="auto"/>
          <w:szCs w:val="21"/>
          <w:lang w:val="en-US" w:eastAsia="zh-CN"/>
        </w:rPr>
        <w:t>现有、新建或改扩建以丙烯为原料生产丙烯酸企业单位产品综合能耗、单位产品二氧化碳排放的计算和评价。</w:t>
      </w:r>
    </w:p>
    <w:p w14:paraId="63B9F457">
      <w:pPr>
        <w:pStyle w:val="39"/>
        <w:keepNext w:val="0"/>
        <w:keepLines w:val="0"/>
        <w:pageBreakBefore w:val="0"/>
        <w:numPr>
          <w:ilvl w:val="0"/>
          <w:numId w:val="0"/>
        </w:numPr>
        <w:kinsoku/>
        <w:wordWrap/>
        <w:overflowPunct/>
        <w:topLinePunct w:val="0"/>
        <w:bidi w:val="0"/>
        <w:adjustRightInd/>
        <w:snapToGrid w:val="0"/>
        <w:spacing w:before="312" w:after="312"/>
        <w:textAlignment w:val="auto"/>
        <w:outlineLvl w:val="0"/>
        <w:rPr>
          <w:color w:val="auto"/>
        </w:rPr>
      </w:pPr>
      <w:bookmarkStart w:id="4" w:name="_Toc17670"/>
      <w:r>
        <w:rPr>
          <w:rFonts w:hint="eastAsia"/>
          <w:color w:val="auto"/>
        </w:rPr>
        <w:t xml:space="preserve">2 </w:t>
      </w:r>
      <w:r>
        <w:rPr>
          <w:rFonts w:hint="eastAsia"/>
          <w:color w:val="auto"/>
          <w:lang w:val="en-US" w:eastAsia="zh-CN"/>
        </w:rPr>
        <w:t xml:space="preserve"> </w:t>
      </w:r>
      <w:r>
        <w:rPr>
          <w:rFonts w:hint="eastAsia"/>
          <w:color w:val="auto"/>
        </w:rPr>
        <w:t>规范性</w:t>
      </w:r>
      <w:r>
        <w:rPr>
          <w:color w:val="auto"/>
        </w:rPr>
        <w:t>引用文件</w:t>
      </w:r>
      <w:bookmarkEnd w:id="4"/>
    </w:p>
    <w:p w14:paraId="685EBD3D">
      <w:pPr>
        <w:keepNext w:val="0"/>
        <w:keepLines w:val="0"/>
        <w:pageBreakBefore w:val="0"/>
        <w:widowControl w:val="0"/>
        <w:kinsoku/>
        <w:wordWrap/>
        <w:overflowPunct/>
        <w:topLinePunct w:val="0"/>
        <w:autoSpaceDE/>
        <w:autoSpaceDN/>
        <w:bidi w:val="0"/>
        <w:adjustRightInd/>
        <w:snapToGrid w:val="0"/>
        <w:ind w:firstLine="420" w:firstLineChars="200"/>
        <w:jc w:val="left"/>
        <w:textAlignment w:val="auto"/>
        <w:rPr>
          <w:rFonts w:hint="eastAsia"/>
          <w:color w:val="auto"/>
          <w:szCs w:val="21"/>
          <w:lang w:val="en-US" w:eastAsia="zh-CN"/>
        </w:rPr>
      </w:pPr>
      <w:r>
        <w:rPr>
          <w:rFonts w:hint="eastAsia"/>
          <w:color w:val="auto"/>
          <w:szCs w:val="21"/>
          <w:lang w:val="en-US" w:eastAsia="zh-CN"/>
        </w:rPr>
        <w:t>下列文件对于本文件的应用是必不可少的。凡是注日期的引用文件，仅注日期的版本适用于本文件。凡是不注日期的引用文件，其最新版本（包括所有的修改单）适用于本文件。</w:t>
      </w:r>
    </w:p>
    <w:p w14:paraId="75E22DBD">
      <w:pPr>
        <w:keepNext w:val="0"/>
        <w:keepLines w:val="0"/>
        <w:pageBreakBefore w:val="0"/>
        <w:widowControl w:val="0"/>
        <w:kinsoku/>
        <w:wordWrap/>
        <w:overflowPunct/>
        <w:topLinePunct w:val="0"/>
        <w:autoSpaceDE/>
        <w:autoSpaceDN/>
        <w:bidi w:val="0"/>
        <w:adjustRightInd/>
        <w:snapToGrid w:val="0"/>
        <w:ind w:firstLine="420" w:firstLineChars="200"/>
        <w:jc w:val="left"/>
        <w:textAlignment w:val="auto"/>
        <w:rPr>
          <w:rFonts w:hint="eastAsia"/>
          <w:color w:val="auto"/>
          <w:szCs w:val="21"/>
          <w:lang w:val="en-US" w:eastAsia="zh-CN"/>
        </w:rPr>
      </w:pPr>
      <w:r>
        <w:rPr>
          <w:rFonts w:hint="eastAsia"/>
          <w:color w:val="auto"/>
          <w:szCs w:val="21"/>
          <w:lang w:val="en-US" w:eastAsia="zh-CN"/>
        </w:rPr>
        <w:t>GB/T 476  ‌煤中碳和氢的测定方法</w:t>
      </w:r>
    </w:p>
    <w:p w14:paraId="6D32414A">
      <w:pPr>
        <w:pStyle w:val="3"/>
        <w:keepNext w:val="0"/>
        <w:keepLines w:val="0"/>
        <w:pageBreakBefore w:val="0"/>
        <w:widowControl w:val="0"/>
        <w:kinsoku/>
        <w:wordWrap/>
        <w:overflowPunct/>
        <w:topLinePunct w:val="0"/>
        <w:autoSpaceDE/>
        <w:autoSpaceDN/>
        <w:bidi w:val="0"/>
        <w:adjustRightInd/>
        <w:snapToGrid w:val="0"/>
        <w:ind w:firstLine="420" w:firstLineChars="200"/>
        <w:textAlignment w:val="auto"/>
        <w:rPr>
          <w:rFonts w:hint="eastAsia"/>
          <w:color w:val="auto"/>
        </w:rPr>
      </w:pPr>
      <w:r>
        <w:rPr>
          <w:rFonts w:hint="eastAsia"/>
          <w:color w:val="auto"/>
        </w:rPr>
        <w:t>GB/T 2589  综合能耗计算通则</w:t>
      </w:r>
    </w:p>
    <w:p w14:paraId="62E3D8F4">
      <w:pPr>
        <w:pStyle w:val="3"/>
        <w:keepNext w:val="0"/>
        <w:keepLines w:val="0"/>
        <w:pageBreakBefore w:val="0"/>
        <w:widowControl w:val="0"/>
        <w:kinsoku/>
        <w:wordWrap/>
        <w:overflowPunct/>
        <w:topLinePunct w:val="0"/>
        <w:autoSpaceDE/>
        <w:autoSpaceDN/>
        <w:bidi w:val="0"/>
        <w:adjustRightInd/>
        <w:snapToGrid w:val="0"/>
        <w:ind w:firstLine="420" w:firstLineChars="200"/>
        <w:textAlignment w:val="auto"/>
        <w:rPr>
          <w:rFonts w:hint="eastAsia"/>
          <w:color w:val="auto"/>
          <w:lang w:val="en-US" w:eastAsia="zh-CN"/>
        </w:rPr>
      </w:pPr>
      <w:r>
        <w:rPr>
          <w:rFonts w:hint="eastAsia"/>
          <w:color w:val="auto"/>
          <w:lang w:val="en-US" w:eastAsia="zh-CN"/>
        </w:rPr>
        <w:t xml:space="preserve">GB/T 8984  </w:t>
      </w:r>
      <w:r>
        <w:rPr>
          <w:rFonts w:hint="eastAsia"/>
          <w:color w:val="auto"/>
          <w:lang w:val="en-US" w:eastAsia="zh-CN"/>
        </w:rPr>
        <w:fldChar w:fldCharType="begin"/>
      </w:r>
      <w:r>
        <w:rPr>
          <w:rFonts w:hint="eastAsia"/>
          <w:color w:val="auto"/>
          <w:lang w:val="en-US" w:eastAsia="zh-CN"/>
        </w:rPr>
        <w:instrText xml:space="preserve"> HYPERLINK "https://std.samr.gov.cn/gb/search/gbDetailed?id=3DBA213286300D16E06397BE0A0A8119" \t "https://std.samr.gov.cn/search/stdPage?q=GB/_blank" </w:instrText>
      </w:r>
      <w:r>
        <w:rPr>
          <w:rFonts w:hint="eastAsia"/>
          <w:color w:val="auto"/>
          <w:lang w:val="en-US" w:eastAsia="zh-CN"/>
        </w:rPr>
        <w:fldChar w:fldCharType="separate"/>
      </w:r>
      <w:r>
        <w:rPr>
          <w:rFonts w:hint="eastAsia"/>
          <w:color w:val="auto"/>
          <w:lang w:val="en-US" w:eastAsia="zh-CN"/>
        </w:rPr>
        <w:t>气体分析 气体中微量一氧化碳、二氧化碳和碳氢化合物含量的测定 火焰离子化气相色谱法</w:t>
      </w:r>
      <w:r>
        <w:rPr>
          <w:rFonts w:hint="eastAsia"/>
          <w:color w:val="auto"/>
          <w:lang w:val="en-US" w:eastAsia="zh-CN"/>
        </w:rPr>
        <w:fldChar w:fldCharType="end"/>
      </w:r>
    </w:p>
    <w:p w14:paraId="56F494E9">
      <w:pPr>
        <w:pStyle w:val="3"/>
        <w:keepNext w:val="0"/>
        <w:keepLines w:val="0"/>
        <w:pageBreakBefore w:val="0"/>
        <w:widowControl w:val="0"/>
        <w:kinsoku/>
        <w:wordWrap/>
        <w:overflowPunct/>
        <w:topLinePunct w:val="0"/>
        <w:autoSpaceDE/>
        <w:autoSpaceDN/>
        <w:bidi w:val="0"/>
        <w:adjustRightInd/>
        <w:snapToGrid w:val="0"/>
        <w:ind w:firstLine="420" w:firstLineChars="200"/>
        <w:textAlignment w:val="auto"/>
        <w:rPr>
          <w:rFonts w:hint="eastAsia"/>
          <w:color w:val="auto"/>
        </w:rPr>
      </w:pPr>
      <w:r>
        <w:rPr>
          <w:rFonts w:hint="eastAsia"/>
          <w:color w:val="auto"/>
        </w:rPr>
        <w:t>GB/T 12723</w:t>
      </w:r>
      <w:r>
        <w:rPr>
          <w:rFonts w:hint="eastAsia"/>
          <w:color w:val="auto"/>
          <w:lang w:val="en-US" w:eastAsia="zh-CN"/>
        </w:rPr>
        <w:t xml:space="preserve">  </w:t>
      </w:r>
      <w:r>
        <w:rPr>
          <w:rFonts w:hint="eastAsia"/>
          <w:color w:val="auto"/>
        </w:rPr>
        <w:t>单位产品能源消耗限额编制通则</w:t>
      </w:r>
    </w:p>
    <w:p w14:paraId="3E4DBE79">
      <w:pPr>
        <w:pStyle w:val="3"/>
        <w:keepNext w:val="0"/>
        <w:keepLines w:val="0"/>
        <w:pageBreakBefore w:val="0"/>
        <w:widowControl w:val="0"/>
        <w:kinsoku/>
        <w:wordWrap/>
        <w:overflowPunct/>
        <w:topLinePunct w:val="0"/>
        <w:autoSpaceDE/>
        <w:autoSpaceDN/>
        <w:bidi w:val="0"/>
        <w:adjustRightInd/>
        <w:snapToGrid w:val="0"/>
        <w:ind w:firstLine="420" w:firstLineChars="200"/>
        <w:textAlignment w:val="auto"/>
        <w:rPr>
          <w:rFonts w:hint="eastAsia"/>
          <w:color w:val="auto"/>
        </w:rPr>
      </w:pPr>
      <w:r>
        <w:rPr>
          <w:rFonts w:hint="default"/>
          <w:color w:val="auto"/>
          <w:lang w:val="en-US" w:eastAsia="zh-CN"/>
        </w:rPr>
        <w:t>GB/T 13610</w:t>
      </w:r>
      <w:r>
        <w:rPr>
          <w:rFonts w:hint="eastAsia"/>
          <w:color w:val="auto"/>
          <w:lang w:val="en-US" w:eastAsia="zh-CN"/>
        </w:rPr>
        <w:t xml:space="preserve">  </w:t>
      </w:r>
      <w:r>
        <w:rPr>
          <w:rFonts w:hint="eastAsia"/>
          <w:color w:val="auto"/>
          <w:lang w:val="en-US" w:eastAsia="zh-CN"/>
        </w:rPr>
        <w:fldChar w:fldCharType="begin"/>
      </w:r>
      <w:r>
        <w:rPr>
          <w:rFonts w:hint="eastAsia"/>
          <w:color w:val="auto"/>
          <w:lang w:val="en-US" w:eastAsia="zh-CN"/>
        </w:rPr>
        <w:instrText xml:space="preserve"> HYPERLINK "https://std.samr.gov.cn/gb/search/gbDetailed?id=B13990C15C125DDAE05397BE0A0A0D35" \t "https://std.samr.gov.cn/search/stdPage?q=GB/_blank" </w:instrText>
      </w:r>
      <w:r>
        <w:rPr>
          <w:rFonts w:hint="eastAsia"/>
          <w:color w:val="auto"/>
          <w:lang w:val="en-US" w:eastAsia="zh-CN"/>
        </w:rPr>
        <w:fldChar w:fldCharType="separate"/>
      </w:r>
      <w:r>
        <w:rPr>
          <w:rFonts w:hint="eastAsia"/>
          <w:color w:val="auto"/>
          <w:lang w:val="en-US" w:eastAsia="zh-CN"/>
        </w:rPr>
        <w:t>天然气的组成分析 气相色谱法</w:t>
      </w:r>
      <w:r>
        <w:rPr>
          <w:rFonts w:hint="eastAsia"/>
          <w:color w:val="auto"/>
          <w:lang w:val="en-US" w:eastAsia="zh-CN"/>
        </w:rPr>
        <w:fldChar w:fldCharType="end"/>
      </w:r>
    </w:p>
    <w:p w14:paraId="53FC2EA5">
      <w:pPr>
        <w:pStyle w:val="3"/>
        <w:keepNext w:val="0"/>
        <w:keepLines w:val="0"/>
        <w:pageBreakBefore w:val="0"/>
        <w:widowControl w:val="0"/>
        <w:kinsoku/>
        <w:wordWrap/>
        <w:overflowPunct/>
        <w:topLinePunct w:val="0"/>
        <w:autoSpaceDE/>
        <w:autoSpaceDN/>
        <w:bidi w:val="0"/>
        <w:adjustRightInd/>
        <w:snapToGrid w:val="0"/>
        <w:ind w:firstLine="420" w:firstLineChars="200"/>
        <w:textAlignment w:val="auto"/>
        <w:rPr>
          <w:rFonts w:hint="eastAsia"/>
          <w:color w:val="auto"/>
        </w:rPr>
      </w:pPr>
      <w:r>
        <w:rPr>
          <w:rFonts w:hint="eastAsia"/>
          <w:color w:val="auto"/>
        </w:rPr>
        <w:t xml:space="preserve">GB/T </w:t>
      </w:r>
      <w:r>
        <w:rPr>
          <w:rFonts w:hint="eastAsia"/>
          <w:color w:val="auto"/>
          <w:lang w:val="en-US" w:eastAsia="zh-CN"/>
        </w:rPr>
        <w:t xml:space="preserve">17529.1  </w:t>
      </w:r>
      <w:r>
        <w:rPr>
          <w:rFonts w:hint="eastAsia"/>
          <w:color w:val="auto"/>
        </w:rPr>
        <w:t>工业用丙烯酸及酯第1部分</w:t>
      </w:r>
      <w:r>
        <w:rPr>
          <w:rFonts w:hint="eastAsia"/>
          <w:color w:val="auto"/>
          <w:lang w:eastAsia="zh-CN"/>
        </w:rPr>
        <w:t>：</w:t>
      </w:r>
      <w:r>
        <w:rPr>
          <w:rFonts w:hint="eastAsia"/>
          <w:color w:val="auto"/>
        </w:rPr>
        <w:t>工业用丙烯酸</w:t>
      </w:r>
    </w:p>
    <w:p w14:paraId="1BFBB8B9">
      <w:pPr>
        <w:pStyle w:val="3"/>
        <w:keepNext w:val="0"/>
        <w:keepLines w:val="0"/>
        <w:pageBreakBefore w:val="0"/>
        <w:widowControl w:val="0"/>
        <w:kinsoku/>
        <w:wordWrap/>
        <w:overflowPunct/>
        <w:topLinePunct w:val="0"/>
        <w:autoSpaceDE/>
        <w:autoSpaceDN/>
        <w:bidi w:val="0"/>
        <w:adjustRightInd/>
        <w:snapToGrid w:val="0"/>
        <w:ind w:firstLine="420" w:firstLineChars="200"/>
        <w:textAlignment w:val="auto"/>
        <w:rPr>
          <w:rFonts w:hint="eastAsia"/>
          <w:color w:val="auto"/>
        </w:rPr>
      </w:pPr>
      <w:r>
        <w:rPr>
          <w:rFonts w:hint="eastAsia"/>
          <w:color w:val="auto"/>
        </w:rPr>
        <w:t>GB/T 32150</w:t>
      </w:r>
      <w:r>
        <w:rPr>
          <w:rFonts w:hint="eastAsia"/>
          <w:color w:val="auto"/>
          <w:lang w:eastAsia="zh-CN"/>
        </w:rPr>
        <w:t>—</w:t>
      </w:r>
      <w:r>
        <w:rPr>
          <w:rFonts w:hint="eastAsia"/>
          <w:color w:val="auto"/>
          <w:lang w:val="en-US" w:eastAsia="zh-CN"/>
        </w:rPr>
        <w:t xml:space="preserve">2025  </w:t>
      </w:r>
      <w:r>
        <w:rPr>
          <w:rFonts w:hint="eastAsia"/>
          <w:color w:val="auto"/>
        </w:rPr>
        <w:t>工业企业温室气体排放核算和报告通则</w:t>
      </w:r>
    </w:p>
    <w:p w14:paraId="03176263">
      <w:pPr>
        <w:pStyle w:val="3"/>
        <w:keepNext w:val="0"/>
        <w:keepLines w:val="0"/>
        <w:pageBreakBefore w:val="0"/>
        <w:widowControl w:val="0"/>
        <w:kinsoku/>
        <w:wordWrap/>
        <w:overflowPunct/>
        <w:topLinePunct w:val="0"/>
        <w:autoSpaceDE/>
        <w:autoSpaceDN/>
        <w:bidi w:val="0"/>
        <w:adjustRightInd/>
        <w:snapToGrid w:val="0"/>
        <w:ind w:firstLine="420" w:firstLineChars="200"/>
        <w:textAlignment w:val="auto"/>
        <w:rPr>
          <w:rFonts w:hint="eastAsia"/>
          <w:color w:val="auto"/>
          <w:lang w:val="en-US" w:eastAsia="zh-CN"/>
        </w:rPr>
      </w:pPr>
      <w:r>
        <w:rPr>
          <w:rFonts w:hint="eastAsia"/>
          <w:color w:val="auto"/>
        </w:rPr>
        <w:t>GB/T 32151.10</w:t>
      </w:r>
      <w:r>
        <w:rPr>
          <w:rFonts w:hint="eastAsia"/>
          <w:color w:val="auto"/>
          <w:lang w:eastAsia="zh-CN"/>
        </w:rPr>
        <w:t>—</w:t>
      </w:r>
      <w:r>
        <w:rPr>
          <w:rFonts w:hint="eastAsia"/>
          <w:color w:val="auto"/>
          <w:lang w:val="en-US" w:eastAsia="zh-CN"/>
        </w:rPr>
        <w:t>2023  碳排放核算与报告要求第10部分：化工生产企业</w:t>
      </w:r>
    </w:p>
    <w:p w14:paraId="2CEBF038">
      <w:pPr>
        <w:pStyle w:val="3"/>
        <w:keepNext w:val="0"/>
        <w:keepLines w:val="0"/>
        <w:pageBreakBefore w:val="0"/>
        <w:widowControl w:val="0"/>
        <w:kinsoku/>
        <w:wordWrap/>
        <w:overflowPunct/>
        <w:topLinePunct w:val="0"/>
        <w:autoSpaceDE/>
        <w:autoSpaceDN/>
        <w:bidi w:val="0"/>
        <w:adjustRightInd/>
        <w:snapToGrid w:val="0"/>
        <w:ind w:firstLine="420" w:firstLineChars="200"/>
        <w:textAlignment w:val="auto"/>
        <w:rPr>
          <w:rFonts w:hint="default"/>
          <w:color w:val="auto"/>
          <w:lang w:val="en-US" w:eastAsia="zh-CN"/>
        </w:rPr>
      </w:pPr>
      <w:r>
        <w:rPr>
          <w:rFonts w:hint="default"/>
          <w:color w:val="auto"/>
          <w:lang w:val="en-US" w:eastAsia="zh-CN"/>
        </w:rPr>
        <w:t xml:space="preserve">SH/T 0656  </w:t>
      </w:r>
      <w:r>
        <w:rPr>
          <w:rFonts w:hint="default"/>
          <w:color w:val="auto"/>
          <w:lang w:val="en-US" w:eastAsia="zh-CN"/>
        </w:rPr>
        <w:fldChar w:fldCharType="begin"/>
      </w:r>
      <w:r>
        <w:rPr>
          <w:rFonts w:hint="default"/>
          <w:color w:val="auto"/>
          <w:lang w:val="en-US" w:eastAsia="zh-CN"/>
        </w:rPr>
        <w:instrText xml:space="preserve"> HYPERLINK "https://std.samr.gov.cn/hb/search/stdHBDetailed?id=8B1827F15082BB19E05397BE0A0AB44A" \t "https://std.samr.gov.cn/search/_blank" </w:instrText>
      </w:r>
      <w:r>
        <w:rPr>
          <w:rFonts w:hint="default"/>
          <w:color w:val="auto"/>
          <w:lang w:val="en-US" w:eastAsia="zh-CN"/>
        </w:rPr>
        <w:fldChar w:fldCharType="separate"/>
      </w:r>
      <w:r>
        <w:rPr>
          <w:rFonts w:hint="default"/>
          <w:color w:val="auto"/>
          <w:lang w:val="en-US" w:eastAsia="zh-CN"/>
        </w:rPr>
        <w:t>石油产品及润滑剂中碳、氢、氮的测定 元素分析仪法</w:t>
      </w:r>
      <w:r>
        <w:rPr>
          <w:rFonts w:hint="default"/>
          <w:color w:val="auto"/>
          <w:lang w:val="en-US" w:eastAsia="zh-CN"/>
        </w:rPr>
        <w:fldChar w:fldCharType="end"/>
      </w:r>
    </w:p>
    <w:p w14:paraId="611B58C2">
      <w:pPr>
        <w:pStyle w:val="39"/>
        <w:keepNext w:val="0"/>
        <w:keepLines w:val="0"/>
        <w:pageBreakBefore w:val="0"/>
        <w:numPr>
          <w:ilvl w:val="0"/>
          <w:numId w:val="0"/>
        </w:numPr>
        <w:kinsoku/>
        <w:wordWrap/>
        <w:overflowPunct/>
        <w:topLinePunct w:val="0"/>
        <w:bidi w:val="0"/>
        <w:adjustRightInd/>
        <w:snapToGrid w:val="0"/>
        <w:spacing w:before="312" w:after="312"/>
        <w:textAlignment w:val="auto"/>
        <w:outlineLvl w:val="0"/>
        <w:rPr>
          <w:color w:val="auto"/>
        </w:rPr>
      </w:pPr>
      <w:bookmarkStart w:id="5" w:name="_Toc21315"/>
      <w:r>
        <w:rPr>
          <w:rFonts w:hint="eastAsia"/>
          <w:color w:val="auto"/>
        </w:rPr>
        <w:t xml:space="preserve">3 </w:t>
      </w:r>
      <w:r>
        <w:rPr>
          <w:rFonts w:hint="eastAsia"/>
          <w:color w:val="auto"/>
          <w:lang w:val="en-US" w:eastAsia="zh-CN"/>
        </w:rPr>
        <w:t xml:space="preserve"> </w:t>
      </w:r>
      <w:r>
        <w:rPr>
          <w:color w:val="auto"/>
        </w:rPr>
        <w:t>术语和定义</w:t>
      </w:r>
      <w:bookmarkEnd w:id="5"/>
    </w:p>
    <w:p w14:paraId="3E84E2DA">
      <w:pPr>
        <w:pStyle w:val="27"/>
        <w:keepNext w:val="0"/>
        <w:keepLines w:val="0"/>
        <w:pageBreakBefore w:val="0"/>
        <w:kinsoku/>
        <w:wordWrap/>
        <w:overflowPunct/>
        <w:topLinePunct w:val="0"/>
        <w:bidi w:val="0"/>
        <w:adjustRightInd/>
        <w:snapToGrid w:val="0"/>
        <w:textAlignment w:val="auto"/>
        <w:rPr>
          <w:rFonts w:hint="eastAsia" w:ascii="Times New Roman" w:eastAsia="宋体"/>
          <w:color w:val="auto"/>
          <w:lang w:eastAsia="zh-CN"/>
        </w:rPr>
      </w:pPr>
      <w:r>
        <w:rPr>
          <w:rFonts w:hint="eastAsia" w:ascii="Times New Roman"/>
          <w:color w:val="auto"/>
          <w:highlight w:val="none"/>
          <w:lang w:val="en-US" w:eastAsia="zh-CN"/>
        </w:rPr>
        <w:t>GB/T 2589、GB/T 12723</w:t>
      </w:r>
      <w:r>
        <w:rPr>
          <w:rFonts w:hint="eastAsia" w:ascii="Times New Roman"/>
          <w:color w:val="auto"/>
          <w:highlight w:val="none"/>
        </w:rPr>
        <w:t>界定的以及下列术语</w:t>
      </w:r>
      <w:r>
        <w:rPr>
          <w:rFonts w:hint="eastAsia" w:ascii="Times New Roman"/>
          <w:color w:val="auto"/>
        </w:rPr>
        <w:t>和定义适用于本文件</w:t>
      </w:r>
      <w:r>
        <w:rPr>
          <w:rFonts w:ascii="Times New Roman"/>
          <w:color w:val="auto"/>
        </w:rPr>
        <w:t>。</w:t>
      </w:r>
    </w:p>
    <w:p w14:paraId="163F5A54">
      <w:pPr>
        <w:pStyle w:val="65"/>
        <w:keepNext w:val="0"/>
        <w:keepLines w:val="0"/>
        <w:pageBreakBefore w:val="0"/>
        <w:kinsoku/>
        <w:wordWrap/>
        <w:overflowPunct/>
        <w:topLinePunct w:val="0"/>
        <w:bidi w:val="0"/>
        <w:adjustRightInd/>
        <w:snapToGrid w:val="0"/>
        <w:ind w:firstLine="0"/>
        <w:textAlignment w:val="auto"/>
        <w:rPr>
          <w:rFonts w:hint="default"/>
          <w:color w:val="auto"/>
          <w:lang w:val="en-US" w:eastAsia="zh-CN"/>
        </w:rPr>
      </w:pPr>
      <w:r>
        <w:rPr>
          <w:rFonts w:hint="eastAsia"/>
          <w:color w:val="auto"/>
          <w:lang w:val="en-US" w:eastAsia="zh-CN"/>
        </w:rPr>
        <w:t>3.1</w:t>
      </w:r>
    </w:p>
    <w:p w14:paraId="37F5479E">
      <w:pPr>
        <w:pStyle w:val="65"/>
        <w:keepNext w:val="0"/>
        <w:keepLines w:val="0"/>
        <w:pageBreakBefore w:val="0"/>
        <w:kinsoku/>
        <w:wordWrap/>
        <w:overflowPunct/>
        <w:topLinePunct w:val="0"/>
        <w:bidi w:val="0"/>
        <w:adjustRightInd/>
        <w:snapToGrid w:val="0"/>
        <w:ind w:firstLine="420" w:firstLineChars="200"/>
        <w:textAlignment w:val="auto"/>
        <w:rPr>
          <w:rFonts w:hint="eastAsia"/>
          <w:b w:val="0"/>
          <w:bCs w:val="0"/>
          <w:color w:val="auto"/>
          <w:lang w:val="en-US" w:eastAsia="zh-CN"/>
        </w:rPr>
      </w:pPr>
      <w:r>
        <w:rPr>
          <w:rFonts w:hint="eastAsia"/>
          <w:b w:val="0"/>
          <w:bCs w:val="0"/>
          <w:color w:val="auto"/>
          <w:lang w:val="en-US" w:eastAsia="zh-CN"/>
        </w:rPr>
        <w:t>丙烯酸产品综合能耗  comprehensive energy consumption of acrylic products</w:t>
      </w:r>
    </w:p>
    <w:p w14:paraId="39A21568">
      <w:pPr>
        <w:keepNext w:val="0"/>
        <w:keepLines w:val="0"/>
        <w:pageBreakBefore w:val="0"/>
        <w:kinsoku/>
        <w:wordWrap/>
        <w:overflowPunct/>
        <w:topLinePunct w:val="0"/>
        <w:bidi w:val="0"/>
        <w:adjustRightInd/>
        <w:snapToGrid w:val="0"/>
        <w:ind w:firstLine="420" w:firstLineChars="200"/>
        <w:textAlignment w:val="auto"/>
        <w:rPr>
          <w:rFonts w:hint="eastAsia"/>
          <w:color w:val="auto"/>
          <w:lang w:val="en-US" w:eastAsia="zh-CN"/>
        </w:rPr>
      </w:pPr>
      <w:r>
        <w:rPr>
          <w:rFonts w:hint="eastAsia"/>
          <w:color w:val="auto"/>
          <w:lang w:val="en-US" w:eastAsia="zh-CN"/>
        </w:rPr>
        <w:t>统计报告期内，丙烯酸产品生产过程中实际消耗的各种能源的实物量，按规定的计算方法和单位分</w:t>
      </w:r>
    </w:p>
    <w:p w14:paraId="587D36AE">
      <w:pPr>
        <w:keepNext w:val="0"/>
        <w:keepLines w:val="0"/>
        <w:pageBreakBefore w:val="0"/>
        <w:kinsoku/>
        <w:wordWrap/>
        <w:overflowPunct/>
        <w:topLinePunct w:val="0"/>
        <w:bidi w:val="0"/>
        <w:adjustRightInd/>
        <w:snapToGrid w:val="0"/>
        <w:textAlignment w:val="auto"/>
        <w:rPr>
          <w:rFonts w:hint="eastAsia"/>
          <w:color w:val="auto"/>
          <w:lang w:val="en-US" w:eastAsia="zh-CN"/>
        </w:rPr>
      </w:pPr>
      <w:r>
        <w:rPr>
          <w:rFonts w:hint="eastAsia"/>
          <w:color w:val="auto"/>
          <w:lang w:val="en-US" w:eastAsia="zh-CN"/>
        </w:rPr>
        <w:t>别折算为标准煤后的总和。</w:t>
      </w:r>
    </w:p>
    <w:p w14:paraId="4A328D8E">
      <w:pPr>
        <w:pStyle w:val="65"/>
        <w:keepNext w:val="0"/>
        <w:keepLines w:val="0"/>
        <w:pageBreakBefore w:val="0"/>
        <w:kinsoku/>
        <w:wordWrap/>
        <w:overflowPunct/>
        <w:topLinePunct w:val="0"/>
        <w:bidi w:val="0"/>
        <w:adjustRightInd/>
        <w:snapToGrid w:val="0"/>
        <w:ind w:firstLine="0"/>
        <w:textAlignment w:val="auto"/>
        <w:rPr>
          <w:rFonts w:hint="eastAsia"/>
          <w:color w:val="auto"/>
          <w:lang w:val="en-US" w:eastAsia="zh-CN"/>
        </w:rPr>
      </w:pPr>
      <w:r>
        <w:rPr>
          <w:rFonts w:hint="eastAsia"/>
          <w:color w:val="auto"/>
          <w:lang w:val="en-US" w:eastAsia="zh-CN"/>
        </w:rPr>
        <w:t>3.2</w:t>
      </w:r>
    </w:p>
    <w:p w14:paraId="1511CC5E">
      <w:pPr>
        <w:pStyle w:val="65"/>
        <w:keepNext w:val="0"/>
        <w:keepLines w:val="0"/>
        <w:pageBreakBefore w:val="0"/>
        <w:kinsoku/>
        <w:wordWrap/>
        <w:overflowPunct/>
        <w:topLinePunct w:val="0"/>
        <w:bidi w:val="0"/>
        <w:adjustRightInd/>
        <w:snapToGrid w:val="0"/>
        <w:ind w:firstLine="420" w:firstLineChars="200"/>
        <w:textAlignment w:val="auto"/>
        <w:rPr>
          <w:rFonts w:hint="default"/>
          <w:b w:val="0"/>
          <w:bCs w:val="0"/>
          <w:color w:val="auto"/>
          <w:highlight w:val="none"/>
          <w:lang w:val="en-US" w:eastAsia="zh-CN"/>
        </w:rPr>
      </w:pPr>
      <w:r>
        <w:rPr>
          <w:rFonts w:hint="eastAsia"/>
          <w:b w:val="0"/>
          <w:bCs w:val="0"/>
          <w:color w:val="auto"/>
          <w:highlight w:val="none"/>
          <w:lang w:val="en-US" w:eastAsia="zh-CN"/>
        </w:rPr>
        <w:t>丙烯酸单位产品综合能耗  comprehensive energy consumption per unit production of acrylic products</w:t>
      </w:r>
    </w:p>
    <w:p w14:paraId="4DF8E869">
      <w:pPr>
        <w:keepNext w:val="0"/>
        <w:keepLines w:val="0"/>
        <w:pageBreakBefore w:val="0"/>
        <w:kinsoku/>
        <w:wordWrap/>
        <w:overflowPunct/>
        <w:topLinePunct w:val="0"/>
        <w:bidi w:val="0"/>
        <w:adjustRightInd/>
        <w:snapToGrid w:val="0"/>
        <w:ind w:firstLine="420" w:firstLineChars="200"/>
        <w:textAlignment w:val="auto"/>
        <w:rPr>
          <w:rFonts w:hint="eastAsia"/>
          <w:color w:val="auto"/>
          <w:lang w:val="en-US" w:eastAsia="zh-CN"/>
        </w:rPr>
      </w:pPr>
      <w:r>
        <w:rPr>
          <w:rFonts w:hint="eastAsia"/>
          <w:color w:val="auto"/>
          <w:lang w:val="en-US" w:eastAsia="zh-CN"/>
        </w:rPr>
        <w:t>同一统计报告期内，丙烯酸产品综合能耗与丙烯酸合格产品产量的比值。</w:t>
      </w:r>
    </w:p>
    <w:p w14:paraId="19095924">
      <w:pPr>
        <w:pStyle w:val="65"/>
        <w:keepNext w:val="0"/>
        <w:keepLines w:val="0"/>
        <w:pageBreakBefore w:val="0"/>
        <w:kinsoku/>
        <w:wordWrap/>
        <w:overflowPunct/>
        <w:topLinePunct w:val="0"/>
        <w:autoSpaceDE/>
        <w:autoSpaceDN/>
        <w:bidi w:val="0"/>
        <w:adjustRightInd/>
        <w:snapToGrid w:val="0"/>
        <w:ind w:firstLine="0"/>
        <w:textAlignment w:val="auto"/>
        <w:rPr>
          <w:rFonts w:hint="eastAsia"/>
          <w:color w:val="auto"/>
          <w:lang w:val="en-US" w:eastAsia="zh-CN"/>
        </w:rPr>
      </w:pPr>
      <w:r>
        <w:rPr>
          <w:rFonts w:hint="eastAsia"/>
          <w:color w:val="auto"/>
          <w:lang w:val="en-US" w:eastAsia="zh-CN"/>
        </w:rPr>
        <w:t>3.3</w:t>
      </w:r>
    </w:p>
    <w:p w14:paraId="04660129">
      <w:pPr>
        <w:pStyle w:val="65"/>
        <w:keepNext w:val="0"/>
        <w:keepLines w:val="0"/>
        <w:pageBreakBefore w:val="0"/>
        <w:kinsoku/>
        <w:wordWrap/>
        <w:overflowPunct/>
        <w:topLinePunct w:val="0"/>
        <w:autoSpaceDE/>
        <w:autoSpaceDN/>
        <w:bidi w:val="0"/>
        <w:adjustRightInd/>
        <w:snapToGrid w:val="0"/>
        <w:ind w:firstLine="420" w:firstLineChars="200"/>
        <w:textAlignment w:val="auto"/>
        <w:rPr>
          <w:rFonts w:hint="default"/>
          <w:color w:val="auto"/>
          <w:lang w:val="en-US" w:eastAsia="zh-CN"/>
        </w:rPr>
      </w:pPr>
      <w:r>
        <w:rPr>
          <w:rFonts w:hint="eastAsia"/>
          <w:color w:val="auto"/>
          <w:lang w:val="en-US" w:eastAsia="zh-CN"/>
        </w:rPr>
        <w:t>丙烯酸产品二氧化碳排放总量  the comprehensive carbon emission of acrylic products</w:t>
      </w:r>
    </w:p>
    <w:p w14:paraId="54965264">
      <w:pPr>
        <w:keepNext w:val="0"/>
        <w:keepLines w:val="0"/>
        <w:pageBreakBefore w:val="0"/>
        <w:kinsoku/>
        <w:wordWrap/>
        <w:overflowPunct/>
        <w:topLinePunct w:val="0"/>
        <w:autoSpaceDE/>
        <w:autoSpaceDN/>
        <w:bidi w:val="0"/>
        <w:adjustRightInd/>
        <w:snapToGrid w:val="0"/>
        <w:ind w:firstLine="420" w:firstLineChars="200"/>
        <w:textAlignment w:val="auto"/>
        <w:rPr>
          <w:rFonts w:hint="default"/>
          <w:color w:val="auto"/>
          <w:lang w:val="en-US" w:eastAsia="zh-CN"/>
        </w:rPr>
      </w:pPr>
      <w:r>
        <w:rPr>
          <w:rFonts w:hint="default"/>
          <w:color w:val="auto"/>
          <w:lang w:val="en-US" w:eastAsia="zh-CN"/>
        </w:rPr>
        <w:t>统计报告期内，</w:t>
      </w:r>
      <w:r>
        <w:rPr>
          <w:rFonts w:hint="eastAsia" w:ascii="Times New Roman" w:eastAsia="宋体"/>
          <w:color w:val="auto"/>
          <w:lang w:val="en-US" w:eastAsia="zh-CN"/>
        </w:rPr>
        <w:t>丙烯酸产品</w:t>
      </w:r>
      <w:r>
        <w:rPr>
          <w:rFonts w:hint="default"/>
          <w:color w:val="auto"/>
          <w:lang w:val="en-US" w:eastAsia="zh-CN"/>
        </w:rPr>
        <w:t>生产</w:t>
      </w:r>
      <w:r>
        <w:rPr>
          <w:rFonts w:hint="eastAsia" w:ascii="Times New Roman" w:eastAsia="宋体"/>
          <w:color w:val="auto"/>
          <w:lang w:val="en-US" w:eastAsia="zh-CN"/>
        </w:rPr>
        <w:t>过程中</w:t>
      </w:r>
      <w:r>
        <w:rPr>
          <w:rFonts w:hint="default"/>
          <w:color w:val="auto"/>
          <w:lang w:val="en-US" w:eastAsia="zh-CN"/>
        </w:rPr>
        <w:t>所排放的</w:t>
      </w:r>
      <w:r>
        <w:rPr>
          <w:rFonts w:hint="eastAsia" w:ascii="Times New Roman" w:eastAsia="宋体"/>
          <w:color w:val="auto"/>
          <w:lang w:val="en-US" w:eastAsia="zh-CN"/>
        </w:rPr>
        <w:t>二氧化碳</w:t>
      </w:r>
      <w:r>
        <w:rPr>
          <w:rFonts w:hint="default"/>
          <w:color w:val="auto"/>
          <w:lang w:val="en-US" w:eastAsia="zh-CN"/>
        </w:rPr>
        <w:t>气体总量。其值等于生产过程中各个核算单元的化石燃料燃烧、生产过程、</w:t>
      </w:r>
      <w:r>
        <w:rPr>
          <w:rFonts w:hint="eastAsia" w:ascii="Times New Roman" w:eastAsia="宋体"/>
          <w:color w:val="auto"/>
          <w:lang w:val="en-US" w:eastAsia="zh-CN"/>
        </w:rPr>
        <w:t>净</w:t>
      </w:r>
      <w:r>
        <w:rPr>
          <w:rFonts w:hint="default"/>
          <w:color w:val="auto"/>
          <w:lang w:val="en-US" w:eastAsia="zh-CN"/>
        </w:rPr>
        <w:t>购入电力和热力的二氧化碳排放之和。</w:t>
      </w:r>
    </w:p>
    <w:p w14:paraId="5B918EC7">
      <w:pPr>
        <w:keepNext w:val="0"/>
        <w:keepLines w:val="0"/>
        <w:pageBreakBefore w:val="0"/>
        <w:kinsoku/>
        <w:wordWrap/>
        <w:overflowPunct/>
        <w:topLinePunct w:val="0"/>
        <w:autoSpaceDE/>
        <w:autoSpaceDN/>
        <w:bidi w:val="0"/>
        <w:adjustRightInd/>
        <w:snapToGrid w:val="0"/>
        <w:ind w:firstLine="420" w:firstLineChars="200"/>
        <w:textAlignment w:val="auto"/>
        <w:rPr>
          <w:rFonts w:hint="default"/>
          <w:color w:val="auto"/>
          <w:lang w:val="en-US" w:eastAsia="zh-CN"/>
        </w:rPr>
      </w:pPr>
    </w:p>
    <w:p w14:paraId="2193F5C7">
      <w:pPr>
        <w:keepNext w:val="0"/>
        <w:keepLines w:val="0"/>
        <w:pageBreakBefore w:val="0"/>
        <w:kinsoku/>
        <w:wordWrap/>
        <w:overflowPunct/>
        <w:topLinePunct w:val="0"/>
        <w:autoSpaceDE/>
        <w:autoSpaceDN/>
        <w:bidi w:val="0"/>
        <w:adjustRightInd/>
        <w:snapToGrid w:val="0"/>
        <w:ind w:firstLine="420" w:firstLineChars="200"/>
        <w:textAlignment w:val="auto"/>
        <w:rPr>
          <w:rFonts w:hint="default"/>
          <w:lang w:val="en-US" w:eastAsia="zh-CN"/>
        </w:rPr>
      </w:pPr>
    </w:p>
    <w:p w14:paraId="2D716A8D">
      <w:pPr>
        <w:pStyle w:val="65"/>
        <w:keepNext w:val="0"/>
        <w:keepLines w:val="0"/>
        <w:pageBreakBefore w:val="0"/>
        <w:kinsoku/>
        <w:wordWrap/>
        <w:overflowPunct/>
        <w:topLinePunct w:val="0"/>
        <w:bidi w:val="0"/>
        <w:adjustRightInd/>
        <w:snapToGrid w:val="0"/>
        <w:ind w:firstLine="0"/>
        <w:textAlignment w:val="auto"/>
        <w:rPr>
          <w:rFonts w:hint="default"/>
          <w:color w:val="auto"/>
          <w:highlight w:val="none"/>
          <w:lang w:val="en-US" w:eastAsia="zh-CN"/>
        </w:rPr>
      </w:pPr>
      <w:r>
        <w:rPr>
          <w:rFonts w:hint="eastAsia"/>
          <w:color w:val="auto"/>
          <w:highlight w:val="none"/>
          <w:lang w:val="en-US" w:eastAsia="zh-CN"/>
        </w:rPr>
        <w:t>3.4</w:t>
      </w:r>
    </w:p>
    <w:p w14:paraId="7FAD3341">
      <w:pPr>
        <w:pStyle w:val="65"/>
        <w:keepNext w:val="0"/>
        <w:keepLines w:val="0"/>
        <w:pageBreakBefore w:val="0"/>
        <w:kinsoku/>
        <w:wordWrap/>
        <w:overflowPunct/>
        <w:topLinePunct w:val="0"/>
        <w:bidi w:val="0"/>
        <w:adjustRightInd/>
        <w:snapToGrid w:val="0"/>
        <w:ind w:firstLine="420" w:firstLineChars="200"/>
        <w:textAlignment w:val="auto"/>
        <w:rPr>
          <w:rFonts w:hint="default"/>
          <w:b w:val="0"/>
          <w:bCs w:val="0"/>
          <w:color w:val="auto"/>
          <w:highlight w:val="none"/>
          <w:lang w:val="en-US" w:eastAsia="zh-CN"/>
        </w:rPr>
      </w:pPr>
      <w:r>
        <w:rPr>
          <w:rFonts w:hint="eastAsia"/>
          <w:b w:val="0"/>
          <w:bCs w:val="0"/>
          <w:color w:val="auto"/>
          <w:highlight w:val="none"/>
          <w:lang w:val="en-US" w:eastAsia="zh-CN"/>
        </w:rPr>
        <w:t>丙烯酸单位产品二氧化碳排放量  the comprehensive carbon emission per production of acrylic products</w:t>
      </w:r>
    </w:p>
    <w:p w14:paraId="7AB28641">
      <w:pPr>
        <w:keepNext w:val="0"/>
        <w:keepLines w:val="0"/>
        <w:pageBreakBefore w:val="0"/>
        <w:kinsoku/>
        <w:wordWrap/>
        <w:overflowPunct/>
        <w:topLinePunct w:val="0"/>
        <w:bidi w:val="0"/>
        <w:adjustRightInd/>
        <w:snapToGrid w:val="0"/>
        <w:ind w:firstLine="420" w:firstLineChars="200"/>
        <w:textAlignment w:val="auto"/>
        <w:rPr>
          <w:rFonts w:hint="default"/>
          <w:color w:val="auto"/>
          <w:lang w:val="en-US" w:eastAsia="zh-CN"/>
        </w:rPr>
      </w:pPr>
      <w:r>
        <w:rPr>
          <w:rFonts w:hint="default"/>
          <w:color w:val="auto"/>
          <w:lang w:val="en-US" w:eastAsia="zh-CN"/>
        </w:rPr>
        <w:t>统计报告期内，丙烯酸产品二氧化碳排放总量与丙烯酸合格产品产量的比值</w:t>
      </w:r>
      <w:r>
        <w:rPr>
          <w:rFonts w:hint="eastAsia"/>
          <w:color w:val="auto"/>
          <w:lang w:val="en-US" w:eastAsia="zh-CN"/>
        </w:rPr>
        <w:t>。</w:t>
      </w:r>
    </w:p>
    <w:p w14:paraId="6EEBCCAA">
      <w:pPr>
        <w:pStyle w:val="39"/>
        <w:keepNext w:val="0"/>
        <w:keepLines w:val="0"/>
        <w:pageBreakBefore w:val="0"/>
        <w:numPr>
          <w:ilvl w:val="0"/>
          <w:numId w:val="0"/>
        </w:numPr>
        <w:kinsoku/>
        <w:wordWrap/>
        <w:overflowPunct/>
        <w:topLinePunct w:val="0"/>
        <w:bidi w:val="0"/>
        <w:adjustRightInd/>
        <w:snapToGrid w:val="0"/>
        <w:spacing w:before="312" w:after="312"/>
        <w:textAlignment w:val="auto"/>
        <w:outlineLvl w:val="0"/>
        <w:rPr>
          <w:rFonts w:hint="default" w:eastAsia="黑体"/>
          <w:color w:val="auto"/>
          <w:lang w:val="en-US" w:eastAsia="zh-CN"/>
        </w:rPr>
      </w:pPr>
      <w:bookmarkStart w:id="6" w:name="_Toc21617"/>
      <w:r>
        <w:rPr>
          <w:rFonts w:hint="eastAsia"/>
          <w:color w:val="auto"/>
        </w:rPr>
        <w:t xml:space="preserve">4 </w:t>
      </w:r>
      <w:r>
        <w:rPr>
          <w:rFonts w:hint="eastAsia"/>
          <w:color w:val="auto"/>
          <w:lang w:val="en-US" w:eastAsia="zh-CN"/>
        </w:rPr>
        <w:t xml:space="preserve"> 限额等级</w:t>
      </w:r>
      <w:bookmarkEnd w:id="6"/>
      <w:r>
        <w:rPr>
          <w:rFonts w:hint="eastAsia"/>
          <w:color w:val="auto"/>
          <w:lang w:val="en-US" w:eastAsia="zh-CN"/>
        </w:rPr>
        <w:t>及指标要求</w:t>
      </w:r>
    </w:p>
    <w:p w14:paraId="0B1FA21A">
      <w:pPr>
        <w:pStyle w:val="65"/>
        <w:keepNext w:val="0"/>
        <w:keepLines w:val="0"/>
        <w:pageBreakBefore w:val="0"/>
        <w:kinsoku/>
        <w:wordWrap/>
        <w:overflowPunct/>
        <w:topLinePunct w:val="0"/>
        <w:bidi w:val="0"/>
        <w:adjustRightInd/>
        <w:snapToGrid w:val="0"/>
        <w:ind w:firstLine="0"/>
        <w:textAlignment w:val="auto"/>
        <w:rPr>
          <w:rFonts w:hint="default"/>
          <w:color w:val="auto"/>
          <w:lang w:val="en-US" w:eastAsia="zh-CN"/>
        </w:rPr>
      </w:pPr>
      <w:r>
        <w:rPr>
          <w:rFonts w:hint="eastAsia"/>
          <w:color w:val="auto"/>
          <w:lang w:val="en-US" w:eastAsia="zh-CN"/>
        </w:rPr>
        <w:t>4.1 丙烯酸单位产品综合能耗限额等级</w:t>
      </w:r>
    </w:p>
    <w:p w14:paraId="33785ED6">
      <w:pPr>
        <w:keepNext w:val="0"/>
        <w:keepLines w:val="0"/>
        <w:pageBreakBefore w:val="0"/>
        <w:widowControl/>
        <w:suppressLineNumbers w:val="0"/>
        <w:kinsoku/>
        <w:wordWrap/>
        <w:overflowPunct/>
        <w:topLinePunct w:val="0"/>
        <w:bidi w:val="0"/>
        <w:adjustRightInd/>
        <w:snapToGrid w:val="0"/>
        <w:ind w:firstLine="420" w:firstLineChars="200"/>
        <w:jc w:val="left"/>
        <w:textAlignment w:val="auto"/>
        <w:rPr>
          <w:rFonts w:hint="eastAsia"/>
          <w:color w:val="auto"/>
          <w:vertAlign w:val="baseline"/>
          <w:lang w:val="en-US" w:eastAsia="zh-CN"/>
        </w:rPr>
      </w:pPr>
      <w:r>
        <w:rPr>
          <w:rFonts w:hint="eastAsia"/>
          <w:color w:val="auto"/>
          <w:vertAlign w:val="baseline"/>
          <w:lang w:val="en-US" w:eastAsia="zh-CN"/>
        </w:rPr>
        <w:t>丙烯酸单位产品综合能耗限额等级见表 1。</w:t>
      </w:r>
    </w:p>
    <w:p w14:paraId="5DC8B2D9">
      <w:pPr>
        <w:keepNext w:val="0"/>
        <w:keepLines w:val="0"/>
        <w:pageBreakBefore w:val="0"/>
        <w:widowControl/>
        <w:suppressLineNumbers w:val="0"/>
        <w:kinsoku/>
        <w:wordWrap/>
        <w:overflowPunct/>
        <w:topLinePunct w:val="0"/>
        <w:bidi w:val="0"/>
        <w:adjustRightInd/>
        <w:snapToGrid w:val="0"/>
        <w:ind w:firstLine="420" w:firstLineChars="200"/>
        <w:jc w:val="left"/>
        <w:textAlignment w:val="auto"/>
        <w:rPr>
          <w:rFonts w:hint="eastAsia"/>
          <w:color w:val="auto"/>
          <w:vertAlign w:val="baseline"/>
          <w:lang w:val="en-US" w:eastAsia="zh-CN"/>
        </w:rPr>
      </w:pPr>
    </w:p>
    <w:p w14:paraId="0983E17F">
      <w:pPr>
        <w:keepNext w:val="0"/>
        <w:keepLines w:val="0"/>
        <w:pageBreakBefore w:val="0"/>
        <w:widowControl/>
        <w:suppressLineNumbers w:val="0"/>
        <w:kinsoku/>
        <w:wordWrap/>
        <w:overflowPunct/>
        <w:topLinePunct w:val="0"/>
        <w:bidi w:val="0"/>
        <w:adjustRightInd/>
        <w:snapToGrid w:val="0"/>
        <w:jc w:val="center"/>
        <w:textAlignment w:val="auto"/>
        <w:rPr>
          <w:rFonts w:hint="eastAsia" w:ascii="黑体" w:hAnsi="黑体" w:eastAsia="黑体" w:cs="黑体"/>
          <w:color w:val="auto"/>
          <w:vertAlign w:val="baseline"/>
          <w:lang w:val="en-US" w:eastAsia="zh-CN"/>
        </w:rPr>
      </w:pPr>
      <w:r>
        <w:rPr>
          <w:rFonts w:hint="eastAsia" w:ascii="黑体" w:hAnsi="黑体" w:eastAsia="黑体" w:cs="黑体"/>
          <w:color w:val="auto"/>
          <w:vertAlign w:val="baseline"/>
          <w:lang w:val="en-US" w:eastAsia="zh-CN"/>
        </w:rPr>
        <w:t>表 1 丙烯酸单位产品综合能耗限额等级</w:t>
      </w:r>
    </w:p>
    <w:p w14:paraId="23444162">
      <w:pPr>
        <w:keepNext w:val="0"/>
        <w:keepLines w:val="0"/>
        <w:pageBreakBefore w:val="0"/>
        <w:widowControl/>
        <w:suppressLineNumbers w:val="0"/>
        <w:kinsoku/>
        <w:wordWrap/>
        <w:overflowPunct/>
        <w:topLinePunct w:val="0"/>
        <w:bidi w:val="0"/>
        <w:adjustRightInd/>
        <w:snapToGrid w:val="0"/>
        <w:ind w:firstLine="420" w:firstLineChars="200"/>
        <w:jc w:val="left"/>
        <w:textAlignment w:val="auto"/>
        <w:rPr>
          <w:rFonts w:hint="eastAsia" w:ascii="黑体" w:hAnsi="黑体" w:eastAsia="黑体" w:cs="黑体"/>
          <w:color w:val="auto"/>
          <w:vertAlign w:val="baseline"/>
          <w:lang w:val="en-US" w:eastAsia="zh-CN"/>
        </w:r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7"/>
        <w:gridCol w:w="3189"/>
        <w:gridCol w:w="3194"/>
      </w:tblGrid>
      <w:tr w14:paraId="0FF5E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154B58D7">
            <w:pPr>
              <w:keepNext w:val="0"/>
              <w:keepLines w:val="0"/>
              <w:pageBreakBefore w:val="0"/>
              <w:kinsoku/>
              <w:wordWrap/>
              <w:overflowPunct/>
              <w:topLinePunct w:val="0"/>
              <w:bidi w:val="0"/>
              <w:adjustRightInd/>
              <w:snapToGrid w:val="0"/>
              <w:jc w:val="center"/>
              <w:textAlignment w:val="auto"/>
              <w:rPr>
                <w:rFonts w:hint="default" w:ascii="宋体" w:hAnsi="宋体" w:eastAsia="宋体" w:cs="宋体"/>
                <w:color w:val="auto"/>
                <w:kern w:val="0"/>
                <w:sz w:val="18"/>
                <w:szCs w:val="18"/>
                <w:highlight w:val="none"/>
                <w:lang w:val="en-US" w:eastAsia="zh-CN"/>
              </w:rPr>
            </w:pPr>
            <w:r>
              <w:rPr>
                <w:rFonts w:hint="eastAsia"/>
                <w:color w:val="auto"/>
                <w:spacing w:val="-1"/>
                <w:sz w:val="18"/>
                <w:szCs w:val="18"/>
                <w:highlight w:val="none"/>
                <w:lang w:val="en-US" w:eastAsia="zh-CN"/>
              </w:rPr>
              <w:t>丙烯酸单位产品综合能耗/（</w:t>
            </w:r>
            <w:r>
              <w:rPr>
                <w:rFonts w:hint="eastAsia" w:eastAsia="宋体"/>
                <w:color w:val="auto"/>
                <w:spacing w:val="-1"/>
                <w:sz w:val="18"/>
                <w:szCs w:val="18"/>
                <w:highlight w:val="none"/>
                <w:lang w:val="en-US" w:eastAsia="zh-CN"/>
              </w:rPr>
              <w:t>kgce/t</w:t>
            </w:r>
            <w:r>
              <w:rPr>
                <w:rFonts w:hint="eastAsia"/>
                <w:color w:val="auto"/>
                <w:spacing w:val="-1"/>
                <w:sz w:val="18"/>
                <w:szCs w:val="18"/>
                <w:highlight w:val="none"/>
                <w:lang w:val="en-US" w:eastAsia="zh-CN"/>
              </w:rPr>
              <w:t>）</w:t>
            </w:r>
          </w:p>
        </w:tc>
      </w:tr>
      <w:tr w14:paraId="3708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5" w:type="pct"/>
            <w:tcBorders>
              <w:tl2br w:val="nil"/>
              <w:tr2bl w:val="nil"/>
            </w:tcBorders>
            <w:noWrap w:val="0"/>
            <w:vAlign w:val="center"/>
          </w:tcPr>
          <w:p w14:paraId="1DED6C30">
            <w:pPr>
              <w:keepNext w:val="0"/>
              <w:keepLines w:val="0"/>
              <w:pageBreakBefore w:val="0"/>
              <w:kinsoku/>
              <w:wordWrap/>
              <w:overflowPunct/>
              <w:topLinePunct w:val="0"/>
              <w:bidi w:val="0"/>
              <w:adjustRightInd/>
              <w:snapToGrid w:val="0"/>
              <w:jc w:val="center"/>
              <w:textAlignment w:val="auto"/>
              <w:rPr>
                <w:rFonts w:ascii="宋体" w:hAnsi="宋体"/>
                <w:color w:val="auto"/>
                <w:kern w:val="0"/>
                <w:sz w:val="18"/>
                <w:szCs w:val="18"/>
                <w:highlight w:val="none"/>
              </w:rPr>
            </w:pPr>
            <w:r>
              <w:rPr>
                <w:rFonts w:ascii="宋体" w:hAnsi="宋体"/>
                <w:color w:val="auto"/>
                <w:kern w:val="0"/>
                <w:sz w:val="18"/>
                <w:szCs w:val="18"/>
                <w:highlight w:val="none"/>
              </w:rPr>
              <w:t>1</w:t>
            </w:r>
            <w:r>
              <w:rPr>
                <w:rFonts w:hint="eastAsia" w:ascii="宋体" w:hAnsi="宋体"/>
                <w:color w:val="auto"/>
                <w:kern w:val="0"/>
                <w:sz w:val="18"/>
                <w:szCs w:val="18"/>
                <w:highlight w:val="none"/>
              </w:rPr>
              <w:t>级</w:t>
            </w:r>
          </w:p>
        </w:tc>
        <w:tc>
          <w:tcPr>
            <w:tcW w:w="1666" w:type="pct"/>
            <w:tcBorders>
              <w:tl2br w:val="nil"/>
              <w:tr2bl w:val="nil"/>
            </w:tcBorders>
            <w:noWrap w:val="0"/>
            <w:vAlign w:val="center"/>
          </w:tcPr>
          <w:p w14:paraId="2139441F">
            <w:pPr>
              <w:keepNext w:val="0"/>
              <w:keepLines w:val="0"/>
              <w:pageBreakBefore w:val="0"/>
              <w:kinsoku/>
              <w:wordWrap/>
              <w:overflowPunct/>
              <w:topLinePunct w:val="0"/>
              <w:bidi w:val="0"/>
              <w:adjustRightInd/>
              <w:snapToGrid w:val="0"/>
              <w:jc w:val="center"/>
              <w:textAlignment w:val="auto"/>
              <w:rPr>
                <w:rFonts w:ascii="宋体" w:hAnsi="宋体"/>
                <w:color w:val="auto"/>
                <w:kern w:val="0"/>
                <w:sz w:val="18"/>
                <w:szCs w:val="18"/>
                <w:highlight w:val="none"/>
              </w:rPr>
            </w:pPr>
            <w:r>
              <w:rPr>
                <w:rFonts w:ascii="宋体" w:hAnsi="宋体"/>
                <w:color w:val="auto"/>
                <w:kern w:val="0"/>
                <w:sz w:val="18"/>
                <w:szCs w:val="18"/>
                <w:highlight w:val="none"/>
              </w:rPr>
              <w:t>2</w:t>
            </w:r>
            <w:r>
              <w:rPr>
                <w:rFonts w:hint="eastAsia" w:ascii="宋体" w:hAnsi="宋体"/>
                <w:color w:val="auto"/>
                <w:kern w:val="0"/>
                <w:sz w:val="18"/>
                <w:szCs w:val="18"/>
                <w:highlight w:val="none"/>
              </w:rPr>
              <w:t>级</w:t>
            </w:r>
          </w:p>
        </w:tc>
        <w:tc>
          <w:tcPr>
            <w:tcW w:w="1668" w:type="pct"/>
            <w:tcBorders>
              <w:tl2br w:val="nil"/>
              <w:tr2bl w:val="nil"/>
            </w:tcBorders>
            <w:noWrap w:val="0"/>
            <w:vAlign w:val="center"/>
          </w:tcPr>
          <w:p w14:paraId="51245B23">
            <w:pPr>
              <w:keepNext w:val="0"/>
              <w:keepLines w:val="0"/>
              <w:pageBreakBefore w:val="0"/>
              <w:kinsoku/>
              <w:wordWrap/>
              <w:overflowPunct/>
              <w:topLinePunct w:val="0"/>
              <w:bidi w:val="0"/>
              <w:adjustRightInd/>
              <w:snapToGrid w:val="0"/>
              <w:jc w:val="center"/>
              <w:textAlignment w:val="auto"/>
              <w:rPr>
                <w:rFonts w:ascii="宋体" w:hAnsi="宋体"/>
                <w:color w:val="auto"/>
                <w:kern w:val="0"/>
                <w:sz w:val="18"/>
                <w:szCs w:val="18"/>
                <w:highlight w:val="none"/>
              </w:rPr>
            </w:pPr>
            <w:r>
              <w:rPr>
                <w:rFonts w:ascii="宋体" w:hAnsi="宋体"/>
                <w:color w:val="auto"/>
                <w:kern w:val="0"/>
                <w:sz w:val="18"/>
                <w:szCs w:val="18"/>
                <w:highlight w:val="none"/>
              </w:rPr>
              <w:t>3</w:t>
            </w:r>
            <w:r>
              <w:rPr>
                <w:rFonts w:hint="eastAsia" w:ascii="宋体" w:hAnsi="宋体"/>
                <w:color w:val="auto"/>
                <w:kern w:val="0"/>
                <w:sz w:val="18"/>
                <w:szCs w:val="18"/>
                <w:highlight w:val="none"/>
              </w:rPr>
              <w:t>级</w:t>
            </w:r>
          </w:p>
        </w:tc>
      </w:tr>
      <w:tr w14:paraId="16CC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5" w:type="pct"/>
            <w:tcBorders>
              <w:tl2br w:val="nil"/>
              <w:tr2bl w:val="nil"/>
            </w:tcBorders>
            <w:noWrap w:val="0"/>
            <w:vAlign w:val="center"/>
          </w:tcPr>
          <w:p w14:paraId="71583BD1">
            <w:pPr>
              <w:keepNext w:val="0"/>
              <w:keepLines w:val="0"/>
              <w:pageBreakBefore w:val="0"/>
              <w:kinsoku/>
              <w:wordWrap/>
              <w:overflowPunct/>
              <w:topLinePunct w:val="0"/>
              <w:bidi w:val="0"/>
              <w:adjustRightInd/>
              <w:snapToGrid w:val="0"/>
              <w:jc w:val="center"/>
              <w:textAlignment w:val="auto"/>
              <w:rPr>
                <w:rFonts w:hint="default" w:eastAsia="宋体"/>
                <w:color w:val="auto"/>
                <w:sz w:val="18"/>
                <w:highlight w:val="none"/>
                <w:lang w:val="en-US" w:eastAsia="zh-CN"/>
              </w:rPr>
            </w:pPr>
            <w:r>
              <w:rPr>
                <w:rFonts w:hint="eastAsia"/>
                <w:color w:val="auto"/>
                <w:sz w:val="18"/>
                <w:highlight w:val="none"/>
                <w:lang w:val="en-US" w:eastAsia="zh-CN"/>
              </w:rPr>
              <w:t>≤ -190</w:t>
            </w:r>
          </w:p>
        </w:tc>
        <w:tc>
          <w:tcPr>
            <w:tcW w:w="1666" w:type="pct"/>
            <w:tcBorders>
              <w:tl2br w:val="nil"/>
              <w:tr2bl w:val="nil"/>
            </w:tcBorders>
            <w:noWrap w:val="0"/>
            <w:vAlign w:val="center"/>
          </w:tcPr>
          <w:p w14:paraId="4ABB3910">
            <w:pPr>
              <w:keepNext w:val="0"/>
              <w:keepLines w:val="0"/>
              <w:pageBreakBefore w:val="0"/>
              <w:kinsoku/>
              <w:wordWrap/>
              <w:overflowPunct/>
              <w:topLinePunct w:val="0"/>
              <w:bidi w:val="0"/>
              <w:adjustRightInd/>
              <w:snapToGrid w:val="0"/>
              <w:jc w:val="center"/>
              <w:textAlignment w:val="auto"/>
              <w:rPr>
                <w:rFonts w:hint="default"/>
                <w:color w:val="auto"/>
                <w:sz w:val="18"/>
                <w:highlight w:val="none"/>
                <w:lang w:val="en-US" w:eastAsia="zh-CN"/>
              </w:rPr>
            </w:pPr>
            <w:r>
              <w:rPr>
                <w:rFonts w:hint="eastAsia"/>
                <w:color w:val="auto"/>
                <w:sz w:val="18"/>
                <w:highlight w:val="none"/>
                <w:lang w:val="en-US" w:eastAsia="zh-CN"/>
              </w:rPr>
              <w:t>≤ -50</w:t>
            </w:r>
          </w:p>
        </w:tc>
        <w:tc>
          <w:tcPr>
            <w:tcW w:w="1668" w:type="pct"/>
            <w:tcBorders>
              <w:tl2br w:val="nil"/>
              <w:tr2bl w:val="nil"/>
            </w:tcBorders>
            <w:noWrap w:val="0"/>
            <w:vAlign w:val="center"/>
          </w:tcPr>
          <w:p w14:paraId="3AA25204">
            <w:pPr>
              <w:keepNext w:val="0"/>
              <w:keepLines w:val="0"/>
              <w:pageBreakBefore w:val="0"/>
              <w:kinsoku/>
              <w:wordWrap/>
              <w:overflowPunct/>
              <w:topLinePunct w:val="0"/>
              <w:bidi w:val="0"/>
              <w:adjustRightInd/>
              <w:snapToGrid w:val="0"/>
              <w:jc w:val="center"/>
              <w:textAlignment w:val="auto"/>
              <w:rPr>
                <w:rFonts w:hint="default"/>
                <w:color w:val="auto"/>
                <w:sz w:val="18"/>
                <w:highlight w:val="none"/>
                <w:lang w:val="en-US" w:eastAsia="zh-CN"/>
              </w:rPr>
            </w:pPr>
            <w:r>
              <w:rPr>
                <w:rFonts w:hint="eastAsia"/>
                <w:color w:val="auto"/>
                <w:sz w:val="18"/>
                <w:highlight w:val="none"/>
                <w:lang w:val="en-US" w:eastAsia="zh-CN"/>
              </w:rPr>
              <w:t>≤ 130</w:t>
            </w:r>
          </w:p>
        </w:tc>
      </w:tr>
    </w:tbl>
    <w:p w14:paraId="1C4E9D9F">
      <w:pPr>
        <w:keepNext w:val="0"/>
        <w:keepLines w:val="0"/>
        <w:pageBreakBefore w:val="0"/>
        <w:widowControl/>
        <w:suppressLineNumbers w:val="0"/>
        <w:kinsoku/>
        <w:wordWrap/>
        <w:overflowPunct/>
        <w:topLinePunct w:val="0"/>
        <w:bidi w:val="0"/>
        <w:adjustRightInd/>
        <w:snapToGrid w:val="0"/>
        <w:ind w:firstLine="420" w:firstLineChars="200"/>
        <w:jc w:val="left"/>
        <w:textAlignment w:val="auto"/>
        <w:rPr>
          <w:rFonts w:hint="eastAsia" w:ascii="Times New Roman" w:eastAsia="宋体"/>
          <w:color w:val="auto"/>
          <w:vertAlign w:val="baseline"/>
          <w:lang w:val="en-US" w:eastAsia="zh-CN"/>
        </w:rPr>
      </w:pPr>
    </w:p>
    <w:p w14:paraId="27D72C7A">
      <w:pPr>
        <w:pStyle w:val="65"/>
        <w:keepNext w:val="0"/>
        <w:keepLines w:val="0"/>
        <w:pageBreakBefore w:val="0"/>
        <w:kinsoku/>
        <w:wordWrap/>
        <w:overflowPunct/>
        <w:topLinePunct w:val="0"/>
        <w:bidi w:val="0"/>
        <w:adjustRightInd/>
        <w:snapToGrid w:val="0"/>
        <w:ind w:firstLine="0"/>
        <w:textAlignment w:val="auto"/>
        <w:rPr>
          <w:rFonts w:hint="default"/>
          <w:color w:val="auto"/>
          <w:lang w:val="en-US" w:eastAsia="zh-CN"/>
        </w:rPr>
      </w:pPr>
      <w:r>
        <w:rPr>
          <w:rFonts w:hint="eastAsia"/>
          <w:color w:val="auto"/>
          <w:lang w:val="en-US" w:eastAsia="zh-CN"/>
        </w:rPr>
        <w:t>4.2 丙烯酸单位产品二氧化碳排放量限额等级</w:t>
      </w:r>
    </w:p>
    <w:p w14:paraId="3901D1F9">
      <w:pPr>
        <w:keepNext w:val="0"/>
        <w:keepLines w:val="0"/>
        <w:pageBreakBefore w:val="0"/>
        <w:widowControl/>
        <w:suppressLineNumbers w:val="0"/>
        <w:kinsoku/>
        <w:wordWrap/>
        <w:overflowPunct/>
        <w:topLinePunct w:val="0"/>
        <w:bidi w:val="0"/>
        <w:adjustRightInd/>
        <w:snapToGrid w:val="0"/>
        <w:ind w:firstLine="420" w:firstLineChars="200"/>
        <w:jc w:val="left"/>
        <w:textAlignment w:val="auto"/>
        <w:rPr>
          <w:rFonts w:hint="eastAsia" w:ascii="Times New Roman" w:eastAsia="宋体"/>
          <w:color w:val="auto"/>
          <w:vertAlign w:val="baseline"/>
          <w:lang w:val="en-US" w:eastAsia="zh-CN"/>
        </w:rPr>
      </w:pPr>
      <w:r>
        <w:rPr>
          <w:rFonts w:hint="eastAsia" w:ascii="Times New Roman" w:eastAsia="宋体"/>
          <w:color w:val="auto"/>
          <w:vertAlign w:val="baseline"/>
          <w:lang w:val="en-US" w:eastAsia="zh-CN"/>
        </w:rPr>
        <w:t>丙烯酸单位产品二氧化碳排放量限额等级见表</w:t>
      </w:r>
      <w:r>
        <w:rPr>
          <w:rFonts w:hint="eastAsia"/>
          <w:color w:val="auto"/>
          <w:vertAlign w:val="baseline"/>
          <w:lang w:val="en-US" w:eastAsia="zh-CN"/>
        </w:rPr>
        <w:t xml:space="preserve"> </w:t>
      </w:r>
      <w:r>
        <w:rPr>
          <w:rFonts w:hint="eastAsia" w:ascii="Times New Roman" w:eastAsia="宋体"/>
          <w:color w:val="auto"/>
          <w:vertAlign w:val="baseline"/>
          <w:lang w:val="en-US" w:eastAsia="zh-CN"/>
        </w:rPr>
        <w:t>2。</w:t>
      </w:r>
    </w:p>
    <w:p w14:paraId="09E7DBA7">
      <w:pPr>
        <w:keepNext w:val="0"/>
        <w:keepLines w:val="0"/>
        <w:pageBreakBefore w:val="0"/>
        <w:widowControl/>
        <w:suppressLineNumbers w:val="0"/>
        <w:kinsoku/>
        <w:wordWrap/>
        <w:overflowPunct/>
        <w:topLinePunct w:val="0"/>
        <w:bidi w:val="0"/>
        <w:adjustRightInd/>
        <w:snapToGrid w:val="0"/>
        <w:ind w:firstLine="420" w:firstLineChars="200"/>
        <w:jc w:val="left"/>
        <w:textAlignment w:val="auto"/>
        <w:rPr>
          <w:rFonts w:hint="eastAsia" w:ascii="Times New Roman" w:eastAsia="宋体"/>
          <w:color w:val="auto"/>
          <w:vertAlign w:val="baseline"/>
          <w:lang w:val="en-US" w:eastAsia="zh-CN"/>
        </w:rPr>
      </w:pPr>
    </w:p>
    <w:p w14:paraId="1E45CB28">
      <w:pPr>
        <w:keepNext w:val="0"/>
        <w:keepLines w:val="0"/>
        <w:pageBreakBefore w:val="0"/>
        <w:widowControl/>
        <w:suppressLineNumbers w:val="0"/>
        <w:kinsoku/>
        <w:wordWrap/>
        <w:overflowPunct/>
        <w:topLinePunct w:val="0"/>
        <w:bidi w:val="0"/>
        <w:adjustRightInd/>
        <w:snapToGrid w:val="0"/>
        <w:jc w:val="center"/>
        <w:textAlignment w:val="auto"/>
        <w:rPr>
          <w:rFonts w:hint="eastAsia"/>
          <w:color w:val="auto"/>
          <w:vertAlign w:val="baseline"/>
          <w:lang w:val="en-US" w:eastAsia="zh-CN"/>
        </w:rPr>
      </w:pPr>
      <w:r>
        <w:rPr>
          <w:rFonts w:hint="eastAsia" w:ascii="黑体" w:hAnsi="黑体" w:eastAsia="黑体" w:cs="黑体"/>
          <w:color w:val="auto"/>
          <w:lang w:val="en-US" w:eastAsia="zh-CN"/>
        </w:rPr>
        <w:t xml:space="preserve">表 2 </w:t>
      </w:r>
      <w:r>
        <w:rPr>
          <w:rFonts w:hint="eastAsia" w:ascii="黑体" w:hAnsi="黑体" w:eastAsia="黑体" w:cs="黑体"/>
          <w:color w:val="auto"/>
          <w:vertAlign w:val="baseline"/>
          <w:lang w:val="en-US" w:eastAsia="zh-CN"/>
        </w:rPr>
        <w:t>丙烯酸单位产品二氧化碳排放量限额等级</w:t>
      </w:r>
    </w:p>
    <w:p w14:paraId="73D74C7A">
      <w:pPr>
        <w:keepNext w:val="0"/>
        <w:keepLines w:val="0"/>
        <w:pageBreakBefore w:val="0"/>
        <w:widowControl/>
        <w:suppressLineNumbers w:val="0"/>
        <w:kinsoku/>
        <w:wordWrap/>
        <w:overflowPunct/>
        <w:topLinePunct w:val="0"/>
        <w:bidi w:val="0"/>
        <w:adjustRightInd/>
        <w:snapToGrid w:val="0"/>
        <w:jc w:val="center"/>
        <w:textAlignment w:val="auto"/>
        <w:rPr>
          <w:rFonts w:hint="default"/>
          <w:color w:val="auto"/>
          <w:vertAlign w:val="baseline"/>
          <w:lang w:val="en-US" w:eastAsia="zh-CN"/>
        </w:r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7"/>
        <w:gridCol w:w="3189"/>
        <w:gridCol w:w="3194"/>
      </w:tblGrid>
      <w:tr w14:paraId="1788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71180736">
            <w:pPr>
              <w:keepNext w:val="0"/>
              <w:keepLines w:val="0"/>
              <w:pageBreakBefore w:val="0"/>
              <w:kinsoku/>
              <w:wordWrap/>
              <w:overflowPunct/>
              <w:topLinePunct w:val="0"/>
              <w:bidi w:val="0"/>
              <w:adjustRightInd/>
              <w:snapToGrid w:val="0"/>
              <w:jc w:val="center"/>
              <w:textAlignment w:val="auto"/>
              <w:rPr>
                <w:rFonts w:hint="default" w:ascii="宋体" w:hAnsi="宋体" w:eastAsia="宋体" w:cs="宋体"/>
                <w:color w:val="auto"/>
                <w:kern w:val="0"/>
                <w:sz w:val="18"/>
                <w:szCs w:val="18"/>
                <w:highlight w:val="none"/>
                <w:lang w:val="en-US" w:eastAsia="zh-CN"/>
              </w:rPr>
            </w:pPr>
            <w:r>
              <w:rPr>
                <w:rFonts w:hint="eastAsia"/>
                <w:color w:val="auto"/>
                <w:spacing w:val="-1"/>
                <w:sz w:val="18"/>
                <w:szCs w:val="18"/>
                <w:highlight w:val="none"/>
                <w:lang w:val="en-US" w:eastAsia="zh-CN"/>
              </w:rPr>
              <w:t>丙烯酸</w:t>
            </w:r>
            <w:r>
              <w:rPr>
                <w:rFonts w:hint="eastAsia" w:ascii="Times New Roman" w:eastAsia="宋体"/>
                <w:color w:val="auto"/>
                <w:spacing w:val="-1"/>
                <w:sz w:val="18"/>
                <w:szCs w:val="18"/>
                <w:highlight w:val="none"/>
                <w:lang w:val="en-US" w:eastAsia="zh-CN"/>
              </w:rPr>
              <w:t>单位产品二氧化碳排放量/（</w:t>
            </w:r>
            <w:r>
              <w:rPr>
                <w:rFonts w:hint="eastAsia" w:eastAsia="宋体"/>
                <w:color w:val="auto"/>
                <w:spacing w:val="-1"/>
                <w:sz w:val="18"/>
                <w:szCs w:val="18"/>
                <w:highlight w:val="none"/>
                <w:lang w:val="en-US" w:eastAsia="zh-CN"/>
              </w:rPr>
              <w:t>kg</w:t>
            </w:r>
            <w:r>
              <w:rPr>
                <w:rFonts w:hint="eastAsia"/>
                <w:color w:val="auto"/>
                <w:spacing w:val="-1"/>
                <w:sz w:val="18"/>
                <w:szCs w:val="18"/>
                <w:highlight w:val="none"/>
                <w:lang w:val="en-US" w:eastAsia="zh-CN"/>
              </w:rPr>
              <w:t>CO</w:t>
            </w:r>
            <w:r>
              <w:rPr>
                <w:rFonts w:hint="eastAsia"/>
                <w:color w:val="auto"/>
                <w:spacing w:val="-1"/>
                <w:sz w:val="18"/>
                <w:szCs w:val="18"/>
                <w:highlight w:val="none"/>
                <w:vertAlign w:val="subscript"/>
                <w:lang w:val="en-US" w:eastAsia="zh-CN"/>
              </w:rPr>
              <w:t>2</w:t>
            </w:r>
            <w:r>
              <w:rPr>
                <w:rFonts w:hint="eastAsia" w:eastAsia="宋体"/>
                <w:color w:val="auto"/>
                <w:spacing w:val="-1"/>
                <w:sz w:val="18"/>
                <w:szCs w:val="18"/>
                <w:highlight w:val="none"/>
                <w:lang w:val="en-US" w:eastAsia="zh-CN"/>
              </w:rPr>
              <w:t>/t</w:t>
            </w:r>
            <w:r>
              <w:rPr>
                <w:rFonts w:hint="eastAsia" w:ascii="Times New Roman" w:eastAsia="宋体"/>
                <w:color w:val="auto"/>
                <w:spacing w:val="-1"/>
                <w:sz w:val="18"/>
                <w:szCs w:val="18"/>
                <w:highlight w:val="none"/>
                <w:lang w:val="en-US" w:eastAsia="zh-CN"/>
              </w:rPr>
              <w:t>）</w:t>
            </w:r>
          </w:p>
        </w:tc>
      </w:tr>
      <w:tr w14:paraId="7571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5" w:type="pct"/>
            <w:tcBorders>
              <w:tl2br w:val="nil"/>
              <w:tr2bl w:val="nil"/>
            </w:tcBorders>
            <w:noWrap w:val="0"/>
            <w:vAlign w:val="center"/>
          </w:tcPr>
          <w:p w14:paraId="5CCCE0F5">
            <w:pPr>
              <w:keepNext w:val="0"/>
              <w:keepLines w:val="0"/>
              <w:pageBreakBefore w:val="0"/>
              <w:kinsoku/>
              <w:wordWrap/>
              <w:overflowPunct/>
              <w:topLinePunct w:val="0"/>
              <w:bidi w:val="0"/>
              <w:adjustRightInd/>
              <w:snapToGrid w:val="0"/>
              <w:jc w:val="center"/>
              <w:textAlignment w:val="auto"/>
              <w:rPr>
                <w:rFonts w:ascii="宋体" w:hAnsi="宋体"/>
                <w:color w:val="auto"/>
                <w:kern w:val="0"/>
                <w:sz w:val="18"/>
                <w:szCs w:val="18"/>
                <w:highlight w:val="none"/>
              </w:rPr>
            </w:pPr>
            <w:r>
              <w:rPr>
                <w:rFonts w:ascii="宋体" w:hAnsi="宋体"/>
                <w:color w:val="auto"/>
                <w:kern w:val="0"/>
                <w:sz w:val="18"/>
                <w:szCs w:val="18"/>
                <w:highlight w:val="none"/>
              </w:rPr>
              <w:t>1</w:t>
            </w:r>
            <w:r>
              <w:rPr>
                <w:rFonts w:hint="eastAsia" w:ascii="宋体" w:hAnsi="宋体"/>
                <w:color w:val="auto"/>
                <w:kern w:val="0"/>
                <w:sz w:val="18"/>
                <w:szCs w:val="18"/>
                <w:highlight w:val="none"/>
              </w:rPr>
              <w:t>级</w:t>
            </w:r>
          </w:p>
        </w:tc>
        <w:tc>
          <w:tcPr>
            <w:tcW w:w="1666" w:type="pct"/>
            <w:tcBorders>
              <w:tl2br w:val="nil"/>
              <w:tr2bl w:val="nil"/>
            </w:tcBorders>
            <w:noWrap w:val="0"/>
            <w:vAlign w:val="center"/>
          </w:tcPr>
          <w:p w14:paraId="6EBD44A4">
            <w:pPr>
              <w:keepNext w:val="0"/>
              <w:keepLines w:val="0"/>
              <w:pageBreakBefore w:val="0"/>
              <w:kinsoku/>
              <w:wordWrap/>
              <w:overflowPunct/>
              <w:topLinePunct w:val="0"/>
              <w:bidi w:val="0"/>
              <w:adjustRightInd/>
              <w:snapToGrid w:val="0"/>
              <w:jc w:val="center"/>
              <w:textAlignment w:val="auto"/>
              <w:rPr>
                <w:rFonts w:ascii="宋体" w:hAnsi="宋体"/>
                <w:color w:val="auto"/>
                <w:kern w:val="0"/>
                <w:sz w:val="18"/>
                <w:szCs w:val="18"/>
                <w:highlight w:val="none"/>
              </w:rPr>
            </w:pPr>
            <w:r>
              <w:rPr>
                <w:rFonts w:ascii="宋体" w:hAnsi="宋体"/>
                <w:color w:val="auto"/>
                <w:kern w:val="0"/>
                <w:sz w:val="18"/>
                <w:szCs w:val="18"/>
                <w:highlight w:val="none"/>
              </w:rPr>
              <w:t>2</w:t>
            </w:r>
            <w:r>
              <w:rPr>
                <w:rFonts w:hint="eastAsia" w:ascii="宋体" w:hAnsi="宋体"/>
                <w:color w:val="auto"/>
                <w:kern w:val="0"/>
                <w:sz w:val="18"/>
                <w:szCs w:val="18"/>
                <w:highlight w:val="none"/>
              </w:rPr>
              <w:t>级</w:t>
            </w:r>
          </w:p>
        </w:tc>
        <w:tc>
          <w:tcPr>
            <w:tcW w:w="1668" w:type="pct"/>
            <w:tcBorders>
              <w:tl2br w:val="nil"/>
              <w:tr2bl w:val="nil"/>
            </w:tcBorders>
            <w:noWrap w:val="0"/>
            <w:vAlign w:val="center"/>
          </w:tcPr>
          <w:p w14:paraId="3EB85EEC">
            <w:pPr>
              <w:keepNext w:val="0"/>
              <w:keepLines w:val="0"/>
              <w:pageBreakBefore w:val="0"/>
              <w:kinsoku/>
              <w:wordWrap/>
              <w:overflowPunct/>
              <w:topLinePunct w:val="0"/>
              <w:bidi w:val="0"/>
              <w:adjustRightInd/>
              <w:snapToGrid w:val="0"/>
              <w:jc w:val="center"/>
              <w:textAlignment w:val="auto"/>
              <w:rPr>
                <w:rFonts w:ascii="宋体" w:hAnsi="宋体"/>
                <w:color w:val="auto"/>
                <w:kern w:val="0"/>
                <w:sz w:val="18"/>
                <w:szCs w:val="18"/>
                <w:highlight w:val="none"/>
              </w:rPr>
            </w:pPr>
            <w:r>
              <w:rPr>
                <w:rFonts w:ascii="宋体" w:hAnsi="宋体"/>
                <w:color w:val="auto"/>
                <w:kern w:val="0"/>
                <w:sz w:val="18"/>
                <w:szCs w:val="18"/>
                <w:highlight w:val="none"/>
              </w:rPr>
              <w:t>3</w:t>
            </w:r>
            <w:r>
              <w:rPr>
                <w:rFonts w:hint="eastAsia" w:ascii="宋体" w:hAnsi="宋体"/>
                <w:color w:val="auto"/>
                <w:kern w:val="0"/>
                <w:sz w:val="18"/>
                <w:szCs w:val="18"/>
                <w:highlight w:val="none"/>
              </w:rPr>
              <w:t>级</w:t>
            </w:r>
          </w:p>
        </w:tc>
      </w:tr>
      <w:tr w14:paraId="23AB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5" w:type="pct"/>
            <w:tcBorders>
              <w:tl2br w:val="nil"/>
              <w:tr2bl w:val="nil"/>
            </w:tcBorders>
            <w:noWrap w:val="0"/>
            <w:vAlign w:val="center"/>
          </w:tcPr>
          <w:p w14:paraId="33A9BE41">
            <w:pPr>
              <w:keepNext w:val="0"/>
              <w:keepLines w:val="0"/>
              <w:pageBreakBefore w:val="0"/>
              <w:kinsoku/>
              <w:wordWrap/>
              <w:overflowPunct/>
              <w:topLinePunct w:val="0"/>
              <w:bidi w:val="0"/>
              <w:adjustRightInd/>
              <w:snapToGrid w:val="0"/>
              <w:jc w:val="center"/>
              <w:textAlignment w:val="auto"/>
              <w:rPr>
                <w:rFonts w:hint="default" w:eastAsia="宋体"/>
                <w:color w:val="auto"/>
                <w:sz w:val="18"/>
                <w:highlight w:val="none"/>
                <w:lang w:val="en-US" w:eastAsia="zh-CN"/>
              </w:rPr>
            </w:pPr>
            <w:r>
              <w:rPr>
                <w:rFonts w:hint="eastAsia"/>
                <w:color w:val="auto"/>
                <w:sz w:val="18"/>
                <w:highlight w:val="none"/>
                <w:lang w:val="en-US" w:eastAsia="zh-CN"/>
              </w:rPr>
              <w:t>≤ -620</w:t>
            </w:r>
          </w:p>
        </w:tc>
        <w:tc>
          <w:tcPr>
            <w:tcW w:w="1666" w:type="pct"/>
            <w:tcBorders>
              <w:tl2br w:val="nil"/>
              <w:tr2bl w:val="nil"/>
            </w:tcBorders>
            <w:noWrap w:val="0"/>
            <w:vAlign w:val="center"/>
          </w:tcPr>
          <w:p w14:paraId="33CDD082">
            <w:pPr>
              <w:keepNext w:val="0"/>
              <w:keepLines w:val="0"/>
              <w:pageBreakBefore w:val="0"/>
              <w:kinsoku/>
              <w:wordWrap/>
              <w:overflowPunct/>
              <w:topLinePunct w:val="0"/>
              <w:bidi w:val="0"/>
              <w:adjustRightInd/>
              <w:snapToGrid w:val="0"/>
              <w:jc w:val="center"/>
              <w:textAlignment w:val="auto"/>
              <w:rPr>
                <w:rFonts w:hint="default" w:eastAsia="宋体"/>
                <w:color w:val="auto"/>
                <w:sz w:val="18"/>
                <w:highlight w:val="none"/>
                <w:lang w:val="en-US" w:eastAsia="zh-CN"/>
              </w:rPr>
            </w:pPr>
            <w:r>
              <w:rPr>
                <w:rFonts w:hint="eastAsia"/>
                <w:color w:val="auto"/>
                <w:sz w:val="18"/>
                <w:highlight w:val="none"/>
                <w:lang w:val="en-US" w:eastAsia="zh-CN"/>
              </w:rPr>
              <w:t>≤ -235</w:t>
            </w:r>
          </w:p>
        </w:tc>
        <w:tc>
          <w:tcPr>
            <w:tcW w:w="1668" w:type="pct"/>
            <w:tcBorders>
              <w:tl2br w:val="nil"/>
              <w:tr2bl w:val="nil"/>
            </w:tcBorders>
            <w:noWrap w:val="0"/>
            <w:vAlign w:val="center"/>
          </w:tcPr>
          <w:p w14:paraId="0615BD15">
            <w:pPr>
              <w:keepNext w:val="0"/>
              <w:keepLines w:val="0"/>
              <w:pageBreakBefore w:val="0"/>
              <w:kinsoku/>
              <w:wordWrap/>
              <w:overflowPunct/>
              <w:topLinePunct w:val="0"/>
              <w:bidi w:val="0"/>
              <w:adjustRightInd/>
              <w:snapToGrid w:val="0"/>
              <w:jc w:val="center"/>
              <w:textAlignment w:val="auto"/>
              <w:rPr>
                <w:rFonts w:hint="default" w:eastAsia="宋体"/>
                <w:color w:val="auto"/>
                <w:sz w:val="18"/>
                <w:highlight w:val="none"/>
                <w:lang w:val="en-US" w:eastAsia="zh-CN"/>
              </w:rPr>
            </w:pPr>
            <w:r>
              <w:rPr>
                <w:rFonts w:hint="eastAsia"/>
                <w:color w:val="auto"/>
                <w:sz w:val="18"/>
                <w:highlight w:val="none"/>
                <w:lang w:val="en-US" w:eastAsia="zh-CN"/>
              </w:rPr>
              <w:t>≤ 340</w:t>
            </w:r>
          </w:p>
        </w:tc>
      </w:tr>
    </w:tbl>
    <w:p w14:paraId="5313CBBE">
      <w:pPr>
        <w:keepNext w:val="0"/>
        <w:keepLines w:val="0"/>
        <w:pageBreakBefore w:val="0"/>
        <w:widowControl/>
        <w:suppressLineNumbers w:val="0"/>
        <w:kinsoku/>
        <w:wordWrap/>
        <w:overflowPunct/>
        <w:topLinePunct w:val="0"/>
        <w:bidi w:val="0"/>
        <w:adjustRightInd/>
        <w:snapToGrid w:val="0"/>
        <w:ind w:firstLine="420" w:firstLineChars="200"/>
        <w:jc w:val="left"/>
        <w:textAlignment w:val="auto"/>
        <w:rPr>
          <w:rFonts w:hint="eastAsia" w:ascii="Times New Roman"/>
          <w:color w:val="auto"/>
          <w:lang w:val="en-US" w:eastAsia="zh-CN"/>
        </w:rPr>
      </w:pPr>
    </w:p>
    <w:p w14:paraId="03EFB939">
      <w:pPr>
        <w:pStyle w:val="27"/>
        <w:keepNext w:val="0"/>
        <w:keepLines w:val="0"/>
        <w:pageBreakBefore w:val="0"/>
        <w:kinsoku/>
        <w:wordWrap/>
        <w:overflowPunct/>
        <w:topLinePunct w:val="0"/>
        <w:bidi w:val="0"/>
        <w:adjustRightInd/>
        <w:snapToGrid w:val="0"/>
        <w:ind w:left="0" w:leftChars="0" w:firstLine="0" w:firstLineChars="0"/>
        <w:textAlignment w:val="auto"/>
        <w:rPr>
          <w:rFonts w:hint="default"/>
          <w:color w:val="auto"/>
          <w:vertAlign w:val="baseline"/>
          <w:lang w:val="en-US" w:eastAsia="zh-CN"/>
        </w:rPr>
      </w:pPr>
      <w:r>
        <w:rPr>
          <w:rFonts w:hint="eastAsia" w:ascii="黑体" w:hAnsi="黑体" w:eastAsia="黑体" w:cs="Times New Roman"/>
          <w:b w:val="0"/>
          <w:bCs w:val="0"/>
          <w:color w:val="auto"/>
          <w:sz w:val="21"/>
          <w:szCs w:val="21"/>
          <w:lang w:val="en-US" w:eastAsia="zh-CN" w:bidi="ar-SA"/>
        </w:rPr>
        <w:t>4.3</w:t>
      </w:r>
      <w:r>
        <w:rPr>
          <w:rFonts w:hint="eastAsia"/>
          <w:color w:val="auto"/>
          <w:vertAlign w:val="baseline"/>
          <w:lang w:val="en-US" w:eastAsia="zh-CN"/>
        </w:rPr>
        <w:t xml:space="preserve">  现有丙烯酸企业单位产品综合能耗和单位产品二氧化碳排放量限定值应分别符合表 1、表 2 中 3 级要求。</w:t>
      </w:r>
    </w:p>
    <w:p w14:paraId="12CDC575">
      <w:pPr>
        <w:pStyle w:val="27"/>
        <w:keepNext w:val="0"/>
        <w:keepLines w:val="0"/>
        <w:pageBreakBefore w:val="0"/>
        <w:kinsoku/>
        <w:wordWrap/>
        <w:overflowPunct/>
        <w:topLinePunct w:val="0"/>
        <w:bidi w:val="0"/>
        <w:adjustRightInd/>
        <w:snapToGrid w:val="0"/>
        <w:ind w:left="0" w:leftChars="0" w:firstLine="0" w:firstLineChars="0"/>
        <w:textAlignment w:val="auto"/>
        <w:rPr>
          <w:rFonts w:hint="eastAsia"/>
          <w:color w:val="auto"/>
          <w:vertAlign w:val="baseline"/>
          <w:lang w:val="en-US" w:eastAsia="zh-CN"/>
        </w:rPr>
      </w:pPr>
      <w:r>
        <w:rPr>
          <w:rFonts w:hint="eastAsia" w:ascii="黑体" w:hAnsi="黑体" w:eastAsia="黑体" w:cs="Times New Roman"/>
          <w:b w:val="0"/>
          <w:bCs w:val="0"/>
          <w:color w:val="auto"/>
          <w:sz w:val="21"/>
          <w:szCs w:val="21"/>
          <w:lang w:val="en-US" w:eastAsia="zh-CN" w:bidi="ar-SA"/>
        </w:rPr>
        <w:t>4.4</w:t>
      </w:r>
      <w:r>
        <w:rPr>
          <w:rFonts w:hint="eastAsia"/>
          <w:color w:val="auto"/>
          <w:vertAlign w:val="baseline"/>
          <w:lang w:val="en-US" w:eastAsia="zh-CN"/>
        </w:rPr>
        <w:t xml:space="preserve">  新建及改扩建丙烯酸企业单位产品综合能耗和单位产品二氧化碳排放量准入值应分别符合表 1、表 2 中 2 级要求。</w:t>
      </w:r>
    </w:p>
    <w:p w14:paraId="2A5E1DA0">
      <w:pPr>
        <w:pStyle w:val="39"/>
        <w:keepNext w:val="0"/>
        <w:keepLines w:val="0"/>
        <w:pageBreakBefore w:val="0"/>
        <w:numPr>
          <w:ilvl w:val="0"/>
          <w:numId w:val="0"/>
        </w:numPr>
        <w:kinsoku/>
        <w:wordWrap/>
        <w:overflowPunct/>
        <w:topLinePunct w:val="0"/>
        <w:bidi w:val="0"/>
        <w:adjustRightInd/>
        <w:snapToGrid w:val="0"/>
        <w:spacing w:before="312" w:after="312"/>
        <w:textAlignment w:val="auto"/>
        <w:outlineLvl w:val="0"/>
        <w:rPr>
          <w:rFonts w:hint="default" w:eastAsia="黑体"/>
          <w:b w:val="0"/>
          <w:bCs w:val="0"/>
          <w:color w:val="auto"/>
          <w:highlight w:val="none"/>
          <w:lang w:val="en-US" w:eastAsia="zh-CN"/>
        </w:rPr>
      </w:pPr>
      <w:bookmarkStart w:id="7" w:name="_Toc8826"/>
      <w:r>
        <w:rPr>
          <w:rFonts w:hint="eastAsia"/>
          <w:b w:val="0"/>
          <w:bCs w:val="0"/>
          <w:color w:val="auto"/>
          <w:highlight w:val="none"/>
          <w:lang w:val="en-US" w:eastAsia="zh-CN"/>
        </w:rPr>
        <w:t>5</w:t>
      </w:r>
      <w:r>
        <w:rPr>
          <w:rFonts w:hint="eastAsia"/>
          <w:b w:val="0"/>
          <w:bCs w:val="0"/>
          <w:color w:val="auto"/>
          <w:highlight w:val="none"/>
        </w:rPr>
        <w:t xml:space="preserve"> </w:t>
      </w:r>
      <w:r>
        <w:rPr>
          <w:rFonts w:hint="eastAsia"/>
          <w:b w:val="0"/>
          <w:bCs w:val="0"/>
          <w:color w:val="auto"/>
          <w:highlight w:val="none"/>
          <w:lang w:val="en-US" w:eastAsia="zh-CN"/>
        </w:rPr>
        <w:t xml:space="preserve"> 统计范围</w:t>
      </w:r>
      <w:bookmarkEnd w:id="7"/>
    </w:p>
    <w:p w14:paraId="5CD1424B">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eastAsia" w:ascii="Times New Roman"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5.1</w:t>
      </w:r>
      <w:r>
        <w:rPr>
          <w:rFonts w:hint="eastAsia" w:cs="Times New Roman"/>
          <w:color w:val="auto"/>
          <w:highlight w:val="none"/>
          <w:vertAlign w:val="baseline"/>
          <w:lang w:val="en-US" w:eastAsia="zh-CN"/>
        </w:rPr>
        <w:t xml:space="preserve">  </w:t>
      </w:r>
      <w:r>
        <w:rPr>
          <w:rFonts w:hint="eastAsia" w:ascii="Times New Roman" w:cs="Times New Roman"/>
          <w:color w:val="auto"/>
          <w:highlight w:val="none"/>
          <w:vertAlign w:val="baseline"/>
          <w:lang w:val="en-US" w:eastAsia="zh-CN"/>
        </w:rPr>
        <w:t>丙烯酸生产系统的</w:t>
      </w:r>
      <w:r>
        <w:rPr>
          <w:rFonts w:hint="default" w:ascii="Times New Roman" w:hAnsi="Times New Roman" w:cs="Times New Roman"/>
          <w:color w:val="auto"/>
          <w:highlight w:val="none"/>
          <w:vertAlign w:val="baseline"/>
          <w:lang w:val="en-US" w:eastAsia="zh-CN"/>
        </w:rPr>
        <w:t>能耗</w:t>
      </w:r>
      <w:r>
        <w:rPr>
          <w:rFonts w:hint="eastAsia" w:ascii="Times New Roman" w:cs="Times New Roman"/>
          <w:color w:val="auto"/>
          <w:highlight w:val="none"/>
          <w:vertAlign w:val="baseline"/>
          <w:lang w:val="en-US" w:eastAsia="zh-CN"/>
        </w:rPr>
        <w:t>及二氧化碳排放</w:t>
      </w:r>
      <w:r>
        <w:rPr>
          <w:rFonts w:hint="default" w:ascii="Times New Roman" w:hAnsi="Times New Roman" w:cs="Times New Roman"/>
          <w:color w:val="auto"/>
          <w:highlight w:val="none"/>
          <w:vertAlign w:val="baseline"/>
          <w:lang w:val="en-US" w:eastAsia="zh-CN"/>
        </w:rPr>
        <w:t>统计界区</w:t>
      </w:r>
      <w:r>
        <w:rPr>
          <w:rFonts w:hint="eastAsia" w:ascii="Times New Roman" w:cs="Times New Roman"/>
          <w:color w:val="auto"/>
          <w:highlight w:val="none"/>
          <w:vertAlign w:val="baseline"/>
          <w:lang w:val="en-US" w:eastAsia="zh-CN"/>
        </w:rPr>
        <w:t>包括主要生产系统、辅助生产系统和附属生产系</w:t>
      </w:r>
    </w:p>
    <w:p w14:paraId="014CE5B0">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default"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统，丙烯酸能耗统计界区示意图见图A.1。其中：</w:t>
      </w:r>
    </w:p>
    <w:p w14:paraId="30FA353A">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a）丙烯酸主要生产系统</w:t>
      </w:r>
    </w:p>
    <w:p w14:paraId="79845219">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包括从原料丙烯等经计量进入丙烯酸工艺装置开始，到成品进入仓库为止的整个生产过程中各种能</w:t>
      </w:r>
    </w:p>
    <w:p w14:paraId="3B38CC7B">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default"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耗及二氧化碳排放。主要工序包括原料预处理与混合、两步催化氧化反应、反应气急冷与吸收、丙烯酸精制提纯、尾气处理等。</w:t>
      </w:r>
    </w:p>
    <w:p w14:paraId="37B57D68">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b）丙烯酸辅助生产系统</w:t>
      </w:r>
    </w:p>
    <w:p w14:paraId="31781190">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为满足丙烯酸生产需要而配置的辅助性工艺过程、设备和设施，包括供电、供水、供汽、机修、电气、仪表、厂内原料场地以及安全、环保装置和各种载能工质的生产装置等。</w:t>
      </w:r>
    </w:p>
    <w:p w14:paraId="2DE0394E">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Times New Roman" w:cs="Times New Roman"/>
          <w:color w:val="auto"/>
          <w:highlight w:val="none"/>
          <w:vertAlign w:val="baseline"/>
          <w:lang w:val="en-US" w:eastAsia="zh-CN"/>
        </w:rPr>
      </w:pPr>
    </w:p>
    <w:p w14:paraId="0E316602">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Times New Roman" w:cs="Times New Roman"/>
          <w:color w:val="auto"/>
          <w:highlight w:val="none"/>
          <w:vertAlign w:val="baseline"/>
          <w:lang w:val="en-US" w:eastAsia="zh-CN"/>
        </w:rPr>
      </w:pPr>
    </w:p>
    <w:p w14:paraId="03C4CF76">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c）丙烯酸附属生产系统</w:t>
      </w:r>
    </w:p>
    <w:p w14:paraId="26455922">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Times New Roman" w:cs="Times New Roman"/>
          <w:color w:val="auto"/>
          <w:highlight w:val="none"/>
          <w:vertAlign w:val="baseline"/>
          <w:lang w:val="en-US" w:eastAsia="zh-CN"/>
        </w:rPr>
      </w:pPr>
      <w:r>
        <w:rPr>
          <w:rFonts w:hint="eastAsia" w:ascii="Times New Roman" w:cs="Times New Roman"/>
          <w:color w:val="auto"/>
          <w:highlight w:val="none"/>
          <w:vertAlign w:val="baseline"/>
          <w:lang w:val="en-US" w:eastAsia="zh-CN"/>
        </w:rPr>
        <w:t>为丙烯酸生产系统配置的生产调度系统和为生产服务的附属性部门和设施，包括办公室、操作室、休息室、更衣室、洗浴室、中控分析室、成品检验室等。</w:t>
      </w:r>
    </w:p>
    <w:p w14:paraId="694576C5">
      <w:pPr>
        <w:pStyle w:val="27"/>
        <w:keepNext w:val="0"/>
        <w:keepLines w:val="0"/>
        <w:pageBreakBefore w:val="0"/>
        <w:widowControl w:val="0"/>
        <w:kinsoku/>
        <w:wordWrap/>
        <w:overflowPunct/>
        <w:topLinePunct w:val="0"/>
        <w:bidi w:val="0"/>
        <w:adjustRightInd/>
        <w:snapToGrid w:val="0"/>
        <w:ind w:left="0" w:leftChars="0" w:firstLine="0" w:firstLineChars="0"/>
        <w:jc w:val="both"/>
        <w:textAlignment w:val="auto"/>
        <w:rPr>
          <w:rFonts w:hint="default"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5.2</w:t>
      </w:r>
      <w:r>
        <w:rPr>
          <w:rFonts w:hint="eastAsia" w:cs="Times New Roman"/>
          <w:color w:val="auto"/>
          <w:highlight w:val="none"/>
          <w:vertAlign w:val="baseline"/>
          <w:lang w:val="en-US" w:eastAsia="zh-CN"/>
        </w:rPr>
        <w:t xml:space="preserve">  丙烯酸生产系统输入和使用的能源包括丙烯酸主要生产系统、辅助生产系统、附属生产系统所消耗的各种一次能源量（原煤、石油、天然气等）、二次能源（电力、热力等）和生产使用的耗能工质（水、氧气、压缩空气、脱盐水等）所消耗的能源量，不包括建设和改造过程用能和生活用能（指企业系统内宿舍、学校、文化娱乐、商业服务和托儿幼教等方面用能）。前述丙烯酸生产系统输入、使用能源产生的直接及间接二氧化碳排放纳入本系统碳排放核算范围，丙烯酸装置生产环节产生的工业过程二氧化碳排放不纳入核算。丙烯酸二氧化碳排放核算边界示意图见图A.2。</w:t>
      </w:r>
    </w:p>
    <w:p w14:paraId="437EFBE7">
      <w:pPr>
        <w:pStyle w:val="27"/>
        <w:keepNext w:val="0"/>
        <w:keepLines w:val="0"/>
        <w:pageBreakBefore w:val="0"/>
        <w:widowControl w:val="0"/>
        <w:kinsoku/>
        <w:wordWrap/>
        <w:overflowPunct/>
        <w:topLinePunct w:val="0"/>
        <w:bidi w:val="0"/>
        <w:adjustRightInd/>
        <w:snapToGrid w:val="0"/>
        <w:ind w:left="0" w:leftChars="0" w:firstLine="0" w:firstLineChars="0"/>
        <w:jc w:val="both"/>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5.3  </w:t>
      </w:r>
      <w:r>
        <w:rPr>
          <w:rFonts w:hint="eastAsia" w:cs="Times New Roman"/>
          <w:color w:val="auto"/>
          <w:highlight w:val="none"/>
          <w:vertAlign w:val="baseline"/>
          <w:lang w:val="en-US" w:eastAsia="zh-CN"/>
        </w:rPr>
        <w:t>丙烯酸生产系统输出能源是指丙烯酸生产系统向外输出的供其他产品或装置使用的电力和热力。丙烯酸生产系统界区内的废气、废液、废渣等未回收使用的、无计量的、没有实测热值以及不作为能源、再次利用的，均不得计入输出能源。上述丙烯酸生产系统输出能源而产生的直接和间接二氧化碳排放应在丙烯酸生产系统碳排放量中予以扣除。</w:t>
      </w:r>
    </w:p>
    <w:p w14:paraId="28B24190">
      <w:pPr>
        <w:pStyle w:val="27"/>
        <w:keepNext w:val="0"/>
        <w:keepLines w:val="0"/>
        <w:pageBreakBefore w:val="0"/>
        <w:widowControl w:val="0"/>
        <w:kinsoku/>
        <w:wordWrap/>
        <w:overflowPunct/>
        <w:topLinePunct w:val="0"/>
        <w:bidi w:val="0"/>
        <w:adjustRightInd/>
        <w:snapToGrid w:val="0"/>
        <w:ind w:left="0" w:leftChars="0" w:firstLine="0" w:firstLineChars="0"/>
        <w:jc w:val="both"/>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5.4  </w:t>
      </w:r>
      <w:r>
        <w:rPr>
          <w:rFonts w:hint="eastAsia" w:cs="Times New Roman"/>
          <w:color w:val="auto"/>
          <w:highlight w:val="none"/>
          <w:vertAlign w:val="baseline"/>
          <w:lang w:val="en-US" w:eastAsia="zh-CN"/>
        </w:rPr>
        <w:t>统计丙烯酸生产系统回收的能量时，回收利用的能量用于本系统时不应作为输入能源再计入；向外输出时，应计入丙烯酸生产系统向外输出的能源。</w:t>
      </w:r>
    </w:p>
    <w:p w14:paraId="257AF97F">
      <w:pPr>
        <w:pStyle w:val="27"/>
        <w:keepNext w:val="0"/>
        <w:keepLines w:val="0"/>
        <w:pageBreakBefore w:val="0"/>
        <w:widowControl w:val="0"/>
        <w:kinsoku/>
        <w:wordWrap/>
        <w:overflowPunct/>
        <w:topLinePunct w:val="0"/>
        <w:bidi w:val="0"/>
        <w:adjustRightInd/>
        <w:snapToGrid w:val="0"/>
        <w:ind w:left="0" w:leftChars="0" w:firstLine="0" w:firstLineChars="0"/>
        <w:jc w:val="both"/>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highlight w:val="none"/>
          <w:lang w:val="en-US" w:eastAsia="zh-CN" w:bidi="ar-SA"/>
        </w:rPr>
        <w:t xml:space="preserve">5.5  </w:t>
      </w:r>
      <w:r>
        <w:rPr>
          <w:rFonts w:hint="eastAsia" w:cs="Times New Roman"/>
          <w:color w:val="auto"/>
          <w:highlight w:val="none"/>
          <w:vertAlign w:val="baseline"/>
          <w:lang w:val="en-US" w:eastAsia="zh-CN"/>
        </w:rPr>
        <w:t>丙烯酸企业涉及固碳、碳捕集与碳封存、碳汇等二氧化碳清除活动，以及使用绿色电力，不应直接扣减。</w:t>
      </w:r>
    </w:p>
    <w:p w14:paraId="3ED87F5D">
      <w:pPr>
        <w:pStyle w:val="39"/>
        <w:keepNext w:val="0"/>
        <w:keepLines w:val="0"/>
        <w:pageBreakBefore w:val="0"/>
        <w:numPr>
          <w:ilvl w:val="0"/>
          <w:numId w:val="0"/>
        </w:numPr>
        <w:kinsoku/>
        <w:wordWrap/>
        <w:overflowPunct/>
        <w:topLinePunct w:val="0"/>
        <w:bidi w:val="0"/>
        <w:adjustRightInd/>
        <w:snapToGrid w:val="0"/>
        <w:spacing w:before="312" w:after="312"/>
        <w:textAlignment w:val="auto"/>
        <w:outlineLvl w:val="0"/>
        <w:rPr>
          <w:rFonts w:hint="eastAsia"/>
          <w:b w:val="0"/>
          <w:bCs w:val="0"/>
          <w:color w:val="auto"/>
          <w:highlight w:val="none"/>
          <w:lang w:val="en-US" w:eastAsia="zh-CN"/>
        </w:rPr>
      </w:pPr>
      <w:r>
        <w:rPr>
          <w:rFonts w:hint="eastAsia"/>
          <w:b w:val="0"/>
          <w:bCs w:val="0"/>
          <w:color w:val="auto"/>
          <w:highlight w:val="none"/>
          <w:lang w:val="en-US" w:eastAsia="zh-CN"/>
        </w:rPr>
        <w:t>6  计算方法</w:t>
      </w:r>
    </w:p>
    <w:p w14:paraId="157E540C">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6.1</w:t>
      </w:r>
      <w:r>
        <w:rPr>
          <w:rFonts w:hint="eastAsia" w:cs="Times New Roman"/>
          <w:color w:val="auto"/>
          <w:highlight w:val="none"/>
          <w:vertAlign w:val="baseline"/>
          <w:lang w:val="en-US" w:eastAsia="zh-CN"/>
        </w:rPr>
        <w:t xml:space="preserve">  丙烯酸综合能耗按式（1）计算：</w:t>
      </w:r>
    </w:p>
    <w:p w14:paraId="210A45E8">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default" w:cs="Times New Roman"/>
          <w:color w:val="auto"/>
          <w:highlight w:val="none"/>
          <w:vertAlign w:val="baseline"/>
          <w:lang w:val="en-US" w:eastAsia="zh-CN"/>
        </w:rPr>
      </w:pPr>
      <w:r>
        <w:rPr>
          <w:rFonts w:hint="eastAsia" w:hAnsi="Cambria Math" w:cs="Times New Roman"/>
          <w:i w:val="0"/>
          <w:color w:val="auto"/>
          <w:sz w:val="21"/>
          <w:szCs w:val="22"/>
          <w:highlight w:val="none"/>
          <w:vertAlign w:val="baseline"/>
          <w:lang w:val="en-US" w:eastAsia="zh-CN" w:bidi="ar-SA"/>
        </w:rPr>
        <w:tab/>
      </w:r>
      <m:oMath>
        <m:r>
          <m:rPr>
            <m:sty m:val="p"/>
          </m:rPr>
          <w:rPr>
            <w:rFonts w:hint="default" w:ascii="Cambria Math" w:hAnsi="Cambria Math" w:cs="Times New Roman"/>
            <w:color w:val="auto"/>
            <w:sz w:val="21"/>
            <w:szCs w:val="22"/>
            <w:highlight w:val="none"/>
            <w:vertAlign w:val="baseline"/>
            <w:lang w:val="en-US" w:eastAsia="zh-CN" w:bidi="ar-SA"/>
          </w:rPr>
          <m:t>E=</m:t>
        </m:r>
        <m:nary>
          <m:naryPr>
            <m:chr m:val="∑"/>
            <m:limLoc m:val="undOvr"/>
            <m:ctrlPr>
              <w:rPr>
                <w:rFonts w:hint="default" w:ascii="Cambria Math" w:hAnsi="Cambria Math" w:cs="Times New Roman"/>
                <w:color w:val="auto"/>
                <w:sz w:val="21"/>
                <w:szCs w:val="22"/>
                <w:highlight w:val="none"/>
                <w:vertAlign w:val="baseline"/>
                <w:lang w:val="en-US" w:eastAsia="zh-CN" w:bidi="ar-SA"/>
              </w:rPr>
            </m:ctrlPr>
          </m:naryPr>
          <m:sub>
            <m:r>
              <m:rPr>
                <m:sty m:val="p"/>
              </m:rPr>
              <w:rPr>
                <w:rFonts w:hint="eastAsia" w:ascii="Cambria Math" w:hAnsi="Cambria Math" w:cs="Times New Roman"/>
                <w:color w:val="auto"/>
                <w:sz w:val="21"/>
                <w:szCs w:val="22"/>
                <w:highlight w:val="none"/>
                <w:vertAlign w:val="baseline"/>
                <w:lang w:val="en-US" w:eastAsia="zh-CN" w:bidi="ar-SA"/>
              </w:rPr>
              <m:t>i=1</m:t>
            </m:r>
            <m:ctrlPr>
              <w:rPr>
                <w:rFonts w:hint="default" w:ascii="Cambria Math" w:hAnsi="Cambria Math" w:cs="Times New Roman"/>
                <w:color w:val="auto"/>
                <w:sz w:val="21"/>
                <w:szCs w:val="22"/>
                <w:highlight w:val="none"/>
                <w:vertAlign w:val="baseline"/>
                <w:lang w:val="en-US" w:eastAsia="zh-CN" w:bidi="ar-SA"/>
              </w:rPr>
            </m:ctrlPr>
          </m:sub>
          <m:sup>
            <m:r>
              <m:rPr>
                <m:sty m:val="p"/>
              </m:rPr>
              <w:rPr>
                <w:rFonts w:hint="eastAsia" w:ascii="Cambria Math" w:hAnsi="Cambria Math" w:cs="Times New Roman"/>
                <w:color w:val="auto"/>
                <w:sz w:val="21"/>
                <w:szCs w:val="22"/>
                <w:highlight w:val="none"/>
                <w:vertAlign w:val="baseline"/>
                <w:lang w:val="en-US" w:eastAsia="zh-CN" w:bidi="ar-SA"/>
              </w:rPr>
              <m:t>n</m:t>
            </m:r>
            <m:ctrlPr>
              <w:rPr>
                <w:rFonts w:hint="default" w:ascii="Cambria Math" w:hAnsi="Cambria Math" w:cs="Times New Roman"/>
                <w:color w:val="auto"/>
                <w:sz w:val="21"/>
                <w:szCs w:val="22"/>
                <w:highlight w:val="none"/>
                <w:vertAlign w:val="baseline"/>
                <w:lang w:val="en-US" w:eastAsia="zh-CN" w:bidi="ar-SA"/>
              </w:rPr>
            </m:ctrlPr>
          </m:sup>
          <m:e>
            <m:r>
              <m:rPr>
                <m:sty m:val="p"/>
              </m:rPr>
              <w:rPr>
                <w:rFonts w:hint="eastAsia" w:ascii="Cambria Math" w:hAnsi="Cambria Math" w:cs="Times New Roman"/>
                <w:color w:val="auto"/>
                <w:sz w:val="21"/>
                <w:szCs w:val="22"/>
                <w:highlight w:val="none"/>
                <w:vertAlign w:val="baseline"/>
                <w:lang w:val="en-US" w:eastAsia="zh-CN" w:bidi="ar-SA"/>
              </w:rPr>
              <m:t>（</m:t>
            </m:r>
            <m:sSub>
              <m:sSubPr>
                <m:ctrlPr>
                  <w:rPr>
                    <w:rFonts w:hint="eastAsia" w:ascii="Cambria Math" w:hAnsi="Cambria Math" w:cs="Times New Roman"/>
                    <w:color w:val="auto"/>
                    <w:sz w:val="21"/>
                    <w:szCs w:val="22"/>
                    <w:highlight w:val="none"/>
                    <w:vertAlign w:val="baseline"/>
                    <w:lang w:val="en-US" w:eastAsia="zh-CN" w:bidi="ar-SA"/>
                  </w:rPr>
                </m:ctrlPr>
              </m:sSubPr>
              <m:e>
                <m:r>
                  <m:rPr>
                    <m:sty m:val="p"/>
                  </m:rPr>
                  <w:rPr>
                    <w:rFonts w:hint="default" w:ascii="Cambria Math" w:hAnsi="Cambria Math" w:cs="Times New Roman"/>
                    <w:color w:val="auto"/>
                    <w:sz w:val="21"/>
                    <w:szCs w:val="22"/>
                    <w:highlight w:val="none"/>
                    <w:vertAlign w:val="baseline"/>
                    <w:lang w:val="en-US" w:eastAsia="zh-CN" w:bidi="ar-SA"/>
                  </w:rPr>
                  <m:t>M</m:t>
                </m:r>
                <m:ctrlPr>
                  <w:rPr>
                    <w:rFonts w:hint="eastAsia" w:ascii="Cambria Math" w:hAnsi="Cambria Math" w:cs="Times New Roman"/>
                    <w:color w:val="auto"/>
                    <w:sz w:val="21"/>
                    <w:szCs w:val="22"/>
                    <w:highlight w:val="none"/>
                    <w:vertAlign w:val="baseline"/>
                    <w:lang w:val="en-US" w:eastAsia="zh-CN" w:bidi="ar-SA"/>
                  </w:rPr>
                </m:ctrlPr>
              </m:e>
              <m:sub>
                <m:r>
                  <m:rPr>
                    <m:sty m:val="p"/>
                  </m:rPr>
                  <w:rPr>
                    <w:rFonts w:hint="eastAsia" w:ascii="Cambria Math" w:hAnsi="Cambria Math" w:cs="Times New Roman"/>
                    <w:color w:val="auto"/>
                    <w:sz w:val="21"/>
                    <w:szCs w:val="22"/>
                    <w:highlight w:val="none"/>
                    <w:vertAlign w:val="baseline"/>
                    <w:lang w:val="en-US" w:eastAsia="zh-CN" w:bidi="ar-SA"/>
                  </w:rPr>
                  <m:t>i</m:t>
                </m:r>
                <m:ctrlPr>
                  <w:rPr>
                    <w:rFonts w:hint="eastAsia" w:ascii="Cambria Math" w:hAnsi="Cambria Math" w:cs="Times New Roman"/>
                    <w:color w:val="auto"/>
                    <w:sz w:val="21"/>
                    <w:szCs w:val="22"/>
                    <w:highlight w:val="none"/>
                    <w:vertAlign w:val="baseline"/>
                    <w:lang w:val="en-US" w:eastAsia="zh-CN" w:bidi="ar-SA"/>
                  </w:rPr>
                </m:ctrlPr>
              </m:sub>
            </m:sSub>
            <m:sSub>
              <m:sSubPr>
                <m:ctrlPr>
                  <w:rPr>
                    <w:rFonts w:hint="eastAsia" w:ascii="Cambria Math" w:hAnsi="Cambria Math" w:cs="Times New Roman"/>
                    <w:i w:val="0"/>
                    <w:color w:val="auto"/>
                    <w:sz w:val="21"/>
                    <w:szCs w:val="22"/>
                    <w:highlight w:val="none"/>
                    <w:vertAlign w:val="baseline"/>
                    <w:lang w:val="en-US" w:eastAsia="zh-CN" w:bidi="ar-SA"/>
                  </w:rPr>
                </m:ctrlPr>
              </m:sSubPr>
              <m:e>
                <m:r>
                  <m:rPr>
                    <m:sty m:val="p"/>
                  </m:rPr>
                  <w:rPr>
                    <w:rFonts w:hint="default" w:ascii="Cambria Math" w:hAnsi="Cambria Math" w:cs="Times New Roman"/>
                    <w:color w:val="auto"/>
                    <w:sz w:val="21"/>
                    <w:szCs w:val="22"/>
                    <w:highlight w:val="none"/>
                    <w:vertAlign w:val="baseline"/>
                    <w:lang w:val="en-US" w:eastAsia="zh-CN" w:bidi="ar-SA"/>
                  </w:rPr>
                  <m:t>R</m:t>
                </m:r>
                <m:ctrlPr>
                  <w:rPr>
                    <w:rFonts w:hint="eastAsia" w:ascii="Cambria Math" w:hAnsi="Cambria Math" w:cs="Times New Roman"/>
                    <w:i w:val="0"/>
                    <w:color w:val="auto"/>
                    <w:sz w:val="21"/>
                    <w:szCs w:val="22"/>
                    <w:highlight w:val="none"/>
                    <w:vertAlign w:val="baseline"/>
                    <w:lang w:val="en-US" w:eastAsia="zh-CN" w:bidi="ar-SA"/>
                  </w:rPr>
                </m:ctrlPr>
              </m:e>
              <m:sub>
                <m:r>
                  <m:rPr>
                    <m:sty m:val="p"/>
                  </m:rPr>
                  <w:rPr>
                    <w:rFonts w:hint="eastAsia" w:ascii="Cambria Math" w:hAnsi="Cambria Math" w:cs="Times New Roman"/>
                    <w:color w:val="auto"/>
                    <w:sz w:val="21"/>
                    <w:szCs w:val="22"/>
                    <w:highlight w:val="none"/>
                    <w:vertAlign w:val="baseline"/>
                    <w:lang w:val="en-US" w:eastAsia="zh-CN" w:bidi="ar-SA"/>
                  </w:rPr>
                  <m:t>i</m:t>
                </m:r>
                <m:ctrlPr>
                  <w:rPr>
                    <w:rFonts w:hint="eastAsia" w:ascii="Cambria Math" w:hAnsi="Cambria Math" w:cs="Times New Roman"/>
                    <w:i w:val="0"/>
                    <w:color w:val="auto"/>
                    <w:sz w:val="21"/>
                    <w:szCs w:val="22"/>
                    <w:highlight w:val="none"/>
                    <w:vertAlign w:val="baseline"/>
                    <w:lang w:val="en-US" w:eastAsia="zh-CN" w:bidi="ar-SA"/>
                  </w:rPr>
                </m:ctrlPr>
              </m:sub>
            </m:sSub>
            <m:r>
              <m:rPr>
                <m:sty m:val="p"/>
              </m:rPr>
              <w:rPr>
                <w:rFonts w:hint="eastAsia" w:ascii="Cambria Math" w:hAnsi="Cambria Math" w:cs="Times New Roman"/>
                <w:color w:val="auto"/>
                <w:sz w:val="21"/>
                <w:szCs w:val="22"/>
                <w:highlight w:val="none"/>
                <w:vertAlign w:val="baseline"/>
                <w:lang w:val="en-US" w:eastAsia="zh-CN" w:bidi="ar-SA"/>
              </w:rPr>
              <m:t>）+</m:t>
            </m:r>
            <m:nary>
              <m:naryPr>
                <m:chr m:val="∑"/>
                <m:limLoc m:val="undOvr"/>
                <m:ctrlPr>
                  <w:rPr>
                    <w:rFonts w:hint="eastAsia" w:ascii="Cambria Math" w:hAnsi="Cambria Math" w:cs="Times New Roman"/>
                    <w:color w:val="auto"/>
                    <w:sz w:val="21"/>
                    <w:szCs w:val="22"/>
                    <w:highlight w:val="none"/>
                    <w:vertAlign w:val="baseline"/>
                    <w:lang w:val="en-US" w:eastAsia="zh-CN" w:bidi="ar-SA"/>
                  </w:rPr>
                </m:ctrlPr>
              </m:naryPr>
              <m:sub>
                <m:r>
                  <m:rPr>
                    <m:sty m:val="p"/>
                  </m:rPr>
                  <w:rPr>
                    <w:rFonts w:hint="eastAsia" w:ascii="Cambria Math" w:hAnsi="Cambria Math" w:cs="Times New Roman"/>
                    <w:color w:val="auto"/>
                    <w:sz w:val="21"/>
                    <w:szCs w:val="22"/>
                    <w:highlight w:val="none"/>
                    <w:vertAlign w:val="baseline"/>
                    <w:lang w:val="en-US" w:eastAsia="zh-CN" w:bidi="ar-SA"/>
                  </w:rPr>
                  <m:t>j=1</m:t>
                </m:r>
                <m:ctrlPr>
                  <w:rPr>
                    <w:rFonts w:hint="eastAsia" w:ascii="Cambria Math" w:hAnsi="Cambria Math" w:cs="Times New Roman"/>
                    <w:color w:val="auto"/>
                    <w:sz w:val="21"/>
                    <w:szCs w:val="22"/>
                    <w:highlight w:val="none"/>
                    <w:vertAlign w:val="baseline"/>
                    <w:lang w:val="en-US" w:eastAsia="zh-CN" w:bidi="ar-SA"/>
                  </w:rPr>
                </m:ctrlPr>
              </m:sub>
              <m:sup>
                <m:r>
                  <m:rPr>
                    <m:sty m:val="p"/>
                  </m:rPr>
                  <w:rPr>
                    <w:rFonts w:hint="eastAsia" w:ascii="Cambria Math" w:hAnsi="Cambria Math" w:cs="Times New Roman"/>
                    <w:color w:val="auto"/>
                    <w:sz w:val="21"/>
                    <w:szCs w:val="22"/>
                    <w:highlight w:val="none"/>
                    <w:vertAlign w:val="baseline"/>
                    <w:lang w:val="en-US" w:eastAsia="zh-CN" w:bidi="ar-SA"/>
                  </w:rPr>
                  <m:t>m</m:t>
                </m:r>
                <m:ctrlPr>
                  <w:rPr>
                    <w:rFonts w:hint="eastAsia" w:ascii="Cambria Math" w:hAnsi="Cambria Math" w:cs="Times New Roman"/>
                    <w:color w:val="auto"/>
                    <w:sz w:val="21"/>
                    <w:szCs w:val="22"/>
                    <w:highlight w:val="none"/>
                    <w:vertAlign w:val="baseline"/>
                    <w:lang w:val="en-US" w:eastAsia="zh-CN" w:bidi="ar-SA"/>
                  </w:rPr>
                </m:ctrlPr>
              </m:sup>
              <m:e>
                <m:sSub>
                  <m:sSubPr>
                    <m:ctrlPr>
                      <w:rPr>
                        <w:rFonts w:hint="eastAsia" w:ascii="Cambria Math" w:hAnsi="Cambria Math" w:cs="Times New Roman"/>
                        <w:color w:val="auto"/>
                        <w:sz w:val="21"/>
                        <w:szCs w:val="22"/>
                        <w:highlight w:val="none"/>
                        <w:vertAlign w:val="baseline"/>
                        <w:lang w:val="en-US" w:eastAsia="zh-CN" w:bidi="ar-SA"/>
                      </w:rPr>
                    </m:ctrlPr>
                  </m:sSubPr>
                  <m:e>
                    <m:r>
                      <m:rPr>
                        <m:sty m:val="p"/>
                      </m:rPr>
                      <w:rPr>
                        <w:rFonts w:hint="default" w:ascii="Cambria Math" w:hAnsi="Cambria Math" w:cs="Times New Roman"/>
                        <w:color w:val="auto"/>
                        <w:sz w:val="21"/>
                        <w:szCs w:val="22"/>
                        <w:highlight w:val="none"/>
                        <w:vertAlign w:val="baseline"/>
                        <w:lang w:val="en-US" w:eastAsia="zh-CN" w:bidi="ar-SA"/>
                      </w:rPr>
                      <m:t>Q</m:t>
                    </m:r>
                    <m:ctrlPr>
                      <w:rPr>
                        <w:rFonts w:hint="eastAsia" w:ascii="Cambria Math" w:hAnsi="Cambria Math" w:cs="Times New Roman"/>
                        <w:color w:val="auto"/>
                        <w:sz w:val="21"/>
                        <w:szCs w:val="22"/>
                        <w:highlight w:val="none"/>
                        <w:vertAlign w:val="baseline"/>
                        <w:lang w:val="en-US" w:eastAsia="zh-CN" w:bidi="ar-SA"/>
                      </w:rPr>
                    </m:ctrlPr>
                  </m:e>
                  <m:sub>
                    <m:r>
                      <m:rPr>
                        <m:sty m:val="p"/>
                      </m:rPr>
                      <w:rPr>
                        <w:rFonts w:hint="eastAsia" w:ascii="Cambria Math" w:hAnsi="Cambria Math" w:cs="Times New Roman"/>
                        <w:color w:val="auto"/>
                        <w:sz w:val="21"/>
                        <w:szCs w:val="22"/>
                        <w:highlight w:val="none"/>
                        <w:vertAlign w:val="baseline"/>
                        <w:lang w:val="en-US" w:eastAsia="zh-CN" w:bidi="ar-SA"/>
                      </w:rPr>
                      <m:t>j</m:t>
                    </m:r>
                    <m:ctrlPr>
                      <w:rPr>
                        <w:rFonts w:hint="eastAsia" w:ascii="Cambria Math" w:hAnsi="Cambria Math" w:cs="Times New Roman"/>
                        <w:color w:val="auto"/>
                        <w:sz w:val="21"/>
                        <w:szCs w:val="22"/>
                        <w:highlight w:val="none"/>
                        <w:vertAlign w:val="baseline"/>
                        <w:lang w:val="en-US" w:eastAsia="zh-CN" w:bidi="ar-SA"/>
                      </w:rPr>
                    </m:ctrlPr>
                  </m:sub>
                </m:sSub>
                <m:ctrlPr>
                  <w:rPr>
                    <w:rFonts w:hint="eastAsia" w:ascii="Cambria Math" w:hAnsi="Cambria Math" w:cs="Times New Roman"/>
                    <w:color w:val="auto"/>
                    <w:sz w:val="21"/>
                    <w:szCs w:val="22"/>
                    <w:highlight w:val="none"/>
                    <w:vertAlign w:val="baseline"/>
                    <w:lang w:val="en-US" w:eastAsia="zh-CN" w:bidi="ar-SA"/>
                  </w:rPr>
                </m:ctrlPr>
              </m:e>
            </m:nary>
            <m:ctrlPr>
              <w:rPr>
                <w:rFonts w:hint="default" w:ascii="Cambria Math" w:hAnsi="Cambria Math" w:cs="Times New Roman"/>
                <w:color w:val="auto"/>
                <w:sz w:val="21"/>
                <w:szCs w:val="22"/>
                <w:highlight w:val="none"/>
                <w:vertAlign w:val="baseline"/>
                <w:lang w:val="en-US" w:eastAsia="zh-CN" w:bidi="ar-SA"/>
              </w:rPr>
            </m:ctrlPr>
          </m:e>
        </m:nary>
      </m:oMath>
      <w:r>
        <w:rPr>
          <w:rFonts w:hint="eastAsia" w:hAnsi="Cambria Math" w:cs="Times New Roman"/>
          <w:i w:val="0"/>
          <w:color w:val="auto"/>
          <w:sz w:val="21"/>
          <w:szCs w:val="22"/>
          <w:highlight w:val="none"/>
          <w:vertAlign w:val="baseline"/>
          <w:lang w:val="en-US" w:eastAsia="zh-CN" w:bidi="ar-SA"/>
        </w:rPr>
        <w:tab/>
      </w:r>
      <w:r>
        <w:rPr>
          <w:rFonts w:hint="eastAsia" w:hAnsi="Cambria Math" w:cs="Times New Roman"/>
          <w:i w:val="0"/>
          <w:color w:val="auto"/>
          <w:sz w:val="21"/>
          <w:szCs w:val="22"/>
          <w:highlight w:val="none"/>
          <w:vertAlign w:val="baseline"/>
          <w:lang w:val="en-US" w:eastAsia="zh-CN" w:bidi="ar-SA"/>
        </w:rPr>
        <w:t>（1）</w:t>
      </w:r>
    </w:p>
    <w:p w14:paraId="4833C276">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0A9ADA82">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cs="Times New Roman"/>
          <w:color w:val="auto"/>
          <w:highlight w:val="none"/>
          <w:vertAlign w:val="baseline"/>
          <w:lang w:val="en-US" w:eastAsia="zh-CN"/>
        </w:rPr>
      </w:pPr>
      <w:r>
        <w:rPr>
          <w:rFonts w:hint="default" w:cs="Times New Roman"/>
          <w:color w:val="auto"/>
          <w:highlight w:val="none"/>
          <w:vertAlign w:val="baseline"/>
          <w:lang w:val="en-US" w:eastAsia="zh-CN"/>
        </w:rPr>
        <w:t>E</w:t>
      </w:r>
      <w:r>
        <w:rPr>
          <w:rFonts w:hint="eastAsia" w:cs="Times New Roman"/>
          <w:color w:val="auto"/>
          <w:highlight w:val="none"/>
          <w:vertAlign w:val="baseline"/>
          <w:lang w:val="en-US" w:eastAsia="zh-CN"/>
        </w:rPr>
        <w:t xml:space="preserve"> </w:t>
      </w:r>
      <w:r>
        <w:rPr>
          <w:rFonts w:hint="default" w:cs="Times New Roman"/>
          <w:color w:val="auto"/>
          <w:highlight w:val="none"/>
          <w:vertAlign w:val="baseline"/>
          <w:lang w:val="en-US" w:eastAsia="zh-CN"/>
        </w:rPr>
        <w:t>—</w:t>
      </w:r>
      <w:r>
        <w:rPr>
          <w:rFonts w:hint="eastAsia" w:cs="Times New Roman"/>
          <w:color w:val="auto"/>
          <w:highlight w:val="none"/>
          <w:vertAlign w:val="baseline"/>
          <w:lang w:val="en-US" w:eastAsia="zh-CN"/>
        </w:rPr>
        <w:t xml:space="preserve"> 丙烯酸综合能耗</w:t>
      </w:r>
      <w:r>
        <w:rPr>
          <w:rFonts w:hint="default" w:cs="Times New Roman"/>
          <w:color w:val="auto"/>
          <w:highlight w:val="none"/>
          <w:vertAlign w:val="baseline"/>
          <w:lang w:val="en-US" w:eastAsia="zh-CN"/>
        </w:rPr>
        <w:t>，</w:t>
      </w:r>
      <w:r>
        <w:rPr>
          <w:rFonts w:hint="eastAsia" w:cs="Times New Roman"/>
          <w:color w:val="auto"/>
          <w:highlight w:val="none"/>
          <w:vertAlign w:val="baseline"/>
          <w:lang w:val="en-US" w:eastAsia="zh-CN"/>
        </w:rPr>
        <w:t>单位为</w:t>
      </w:r>
      <w:r>
        <w:rPr>
          <w:rFonts w:hint="default" w:cs="Times New Roman"/>
          <w:color w:val="auto"/>
          <w:highlight w:val="none"/>
          <w:vertAlign w:val="baseline"/>
          <w:lang w:val="en-US" w:eastAsia="zh-CN"/>
        </w:rPr>
        <w:t>千克标准</w:t>
      </w:r>
      <w:r>
        <w:rPr>
          <w:rFonts w:hint="eastAsia" w:cs="Times New Roman"/>
          <w:color w:val="auto"/>
          <w:highlight w:val="none"/>
          <w:vertAlign w:val="baseline"/>
          <w:lang w:val="en-US" w:eastAsia="zh-CN"/>
        </w:rPr>
        <w:t>煤</w:t>
      </w:r>
      <w:r>
        <w:rPr>
          <w:rFonts w:hint="default" w:cs="Times New Roman"/>
          <w:color w:val="auto"/>
          <w:highlight w:val="none"/>
          <w:vertAlign w:val="baseline"/>
          <w:lang w:val="en-US" w:eastAsia="zh-CN"/>
        </w:rPr>
        <w:t>（kg</w:t>
      </w:r>
      <w:r>
        <w:rPr>
          <w:rFonts w:hint="eastAsia" w:cs="Times New Roman"/>
          <w:color w:val="auto"/>
          <w:highlight w:val="none"/>
          <w:vertAlign w:val="baseline"/>
          <w:lang w:val="en-US" w:eastAsia="zh-CN"/>
        </w:rPr>
        <w:t>c</w:t>
      </w:r>
      <w:r>
        <w:rPr>
          <w:rFonts w:hint="default" w:cs="Times New Roman"/>
          <w:color w:val="auto"/>
          <w:highlight w:val="none"/>
          <w:vertAlign w:val="baseline"/>
          <w:lang w:val="en-US" w:eastAsia="zh-CN"/>
        </w:rPr>
        <w:t>e）；</w:t>
      </w:r>
    </w:p>
    <w:p w14:paraId="60BC7957">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cs="Times New Roman"/>
          <w:color w:val="auto"/>
          <w:highlight w:val="none"/>
          <w:vertAlign w:val="baseline"/>
          <w:lang w:val="en-US" w:eastAsia="zh-CN"/>
        </w:rPr>
      </w:pPr>
      <w:r>
        <w:rPr>
          <w:rFonts w:hint="default" w:cs="Times New Roman"/>
          <w:color w:val="auto"/>
          <w:highlight w:val="none"/>
          <w:vertAlign w:val="baseline"/>
          <w:lang w:val="en-US" w:eastAsia="zh-CN"/>
        </w:rPr>
        <w:t>M</w:t>
      </w:r>
      <w:r>
        <w:rPr>
          <w:rFonts w:hint="default" w:cs="Times New Roman"/>
          <w:color w:val="auto"/>
          <w:highlight w:val="none"/>
          <w:vertAlign w:val="subscript"/>
          <w:lang w:val="en-US" w:eastAsia="zh-CN"/>
        </w:rPr>
        <w:t>i</w:t>
      </w:r>
      <w:r>
        <w:rPr>
          <w:rFonts w:hint="eastAsia" w:cs="Times New Roman"/>
          <w:color w:val="auto"/>
          <w:highlight w:val="none"/>
          <w:vertAlign w:val="baseline"/>
          <w:lang w:val="en-US" w:eastAsia="zh-CN"/>
        </w:rPr>
        <w:t xml:space="preserve"> </w:t>
      </w:r>
      <w:r>
        <w:rPr>
          <w:rFonts w:hint="default" w:cs="Times New Roman"/>
          <w:color w:val="auto"/>
          <w:highlight w:val="none"/>
          <w:vertAlign w:val="baseline"/>
          <w:lang w:val="en-US" w:eastAsia="zh-CN"/>
        </w:rPr>
        <w:t>—</w:t>
      </w:r>
      <w:r>
        <w:rPr>
          <w:rFonts w:hint="eastAsia" w:cs="Times New Roman"/>
          <w:color w:val="auto"/>
          <w:highlight w:val="none"/>
          <w:vertAlign w:val="baseline"/>
          <w:lang w:val="en-US" w:eastAsia="zh-CN"/>
        </w:rPr>
        <w:t xml:space="preserve"> 统计报告期内输入的第i种能源</w:t>
      </w:r>
      <w:r>
        <w:rPr>
          <w:rFonts w:hint="default" w:cs="Times New Roman"/>
          <w:color w:val="auto"/>
          <w:highlight w:val="none"/>
          <w:vertAlign w:val="baseline"/>
          <w:lang w:val="en-US" w:eastAsia="zh-CN"/>
        </w:rPr>
        <w:t>的实物</w:t>
      </w:r>
      <w:r>
        <w:rPr>
          <w:rFonts w:hint="eastAsia" w:cs="Times New Roman"/>
          <w:color w:val="auto"/>
          <w:highlight w:val="none"/>
          <w:vertAlign w:val="baseline"/>
          <w:lang w:val="en-US" w:eastAsia="zh-CN"/>
        </w:rPr>
        <w:t>量（电、蒸汽、燃料），向统计界区内输入实物量计为正值，输出计为负值；</w:t>
      </w:r>
    </w:p>
    <w:p w14:paraId="66444EA1">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cs="Times New Roman"/>
          <w:color w:val="auto"/>
          <w:highlight w:val="none"/>
          <w:vertAlign w:val="baseline"/>
          <w:lang w:val="en-US" w:eastAsia="zh-CN"/>
        </w:rPr>
      </w:pPr>
      <w:r>
        <w:rPr>
          <w:rFonts w:hint="default" w:cs="Times New Roman"/>
          <w:color w:val="auto"/>
          <w:highlight w:val="none"/>
          <w:vertAlign w:val="baseline"/>
          <w:lang w:val="en-US" w:eastAsia="zh-CN"/>
        </w:rPr>
        <w:t>R</w:t>
      </w:r>
      <w:r>
        <w:rPr>
          <w:rFonts w:hint="default" w:cs="Times New Roman"/>
          <w:color w:val="auto"/>
          <w:highlight w:val="none"/>
          <w:vertAlign w:val="subscript"/>
          <w:lang w:val="en-US" w:eastAsia="zh-CN"/>
        </w:rPr>
        <w:t>i</w:t>
      </w:r>
      <w:r>
        <w:rPr>
          <w:rFonts w:hint="eastAsia" w:cs="Times New Roman"/>
          <w:color w:val="auto"/>
          <w:highlight w:val="none"/>
          <w:vertAlign w:val="baseline"/>
          <w:lang w:val="en-US" w:eastAsia="zh-CN"/>
        </w:rPr>
        <w:t xml:space="preserve"> </w:t>
      </w:r>
      <w:r>
        <w:rPr>
          <w:rFonts w:hint="default" w:cs="Times New Roman"/>
          <w:color w:val="auto"/>
          <w:highlight w:val="none"/>
          <w:vertAlign w:val="baseline"/>
          <w:lang w:val="en-US" w:eastAsia="zh-CN"/>
        </w:rPr>
        <w:t>—</w:t>
      </w:r>
      <w:r>
        <w:rPr>
          <w:rFonts w:hint="eastAsia" w:cs="Times New Roman"/>
          <w:color w:val="auto"/>
          <w:highlight w:val="none"/>
          <w:vertAlign w:val="baseline"/>
          <w:lang w:val="en-US" w:eastAsia="zh-CN"/>
        </w:rPr>
        <w:t xml:space="preserve"> 统计报告期内输入的第i种能源的折标准煤系数</w:t>
      </w:r>
      <w:r>
        <w:rPr>
          <w:rFonts w:hint="default" w:cs="Times New Roman"/>
          <w:color w:val="auto"/>
          <w:highlight w:val="none"/>
          <w:vertAlign w:val="baseline"/>
          <w:lang w:val="en-US" w:eastAsia="zh-CN"/>
        </w:rPr>
        <w:t>；</w:t>
      </w:r>
    </w:p>
    <w:p w14:paraId="0CA368D0">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cs="Times New Roman"/>
          <w:color w:val="auto"/>
          <w:highlight w:val="none"/>
          <w:vertAlign w:val="baseline"/>
          <w:lang w:val="en-US" w:eastAsia="zh-CN"/>
        </w:rPr>
      </w:pPr>
      <w:r>
        <w:rPr>
          <w:rFonts w:hint="default" w:cs="Times New Roman"/>
          <w:color w:val="auto"/>
          <w:highlight w:val="none"/>
          <w:vertAlign w:val="baseline"/>
          <w:lang w:val="en-US" w:eastAsia="zh-CN"/>
        </w:rPr>
        <w:t>Q</w:t>
      </w:r>
      <w:r>
        <w:rPr>
          <w:rFonts w:hint="eastAsia" w:cs="Times New Roman"/>
          <w:color w:val="auto"/>
          <w:highlight w:val="none"/>
          <w:vertAlign w:val="subscript"/>
          <w:lang w:val="en-US" w:eastAsia="zh-CN"/>
        </w:rPr>
        <w:t>j</w:t>
      </w:r>
      <w:r>
        <w:rPr>
          <w:rFonts w:hint="eastAsia" w:cs="Times New Roman"/>
          <w:color w:val="auto"/>
          <w:highlight w:val="none"/>
          <w:vertAlign w:val="baseline"/>
          <w:lang w:val="en-US" w:eastAsia="zh-CN"/>
        </w:rPr>
        <w:t xml:space="preserve"> </w:t>
      </w:r>
      <w:r>
        <w:rPr>
          <w:rFonts w:hint="default" w:cs="Times New Roman"/>
          <w:color w:val="auto"/>
          <w:highlight w:val="none"/>
          <w:vertAlign w:val="baseline"/>
          <w:lang w:val="en-US" w:eastAsia="zh-CN"/>
        </w:rPr>
        <w:t>—</w:t>
      </w:r>
      <w:r>
        <w:rPr>
          <w:rFonts w:hint="eastAsia" w:cs="Times New Roman"/>
          <w:color w:val="auto"/>
          <w:highlight w:val="none"/>
          <w:vertAlign w:val="baseline"/>
          <w:lang w:val="en-US" w:eastAsia="zh-CN"/>
        </w:rPr>
        <w:t xml:space="preserve"> 统计报告期内丙烯酸</w:t>
      </w:r>
      <w:r>
        <w:rPr>
          <w:rFonts w:hint="default" w:cs="Times New Roman"/>
          <w:color w:val="auto"/>
          <w:highlight w:val="none"/>
          <w:vertAlign w:val="baseline"/>
          <w:lang w:val="en-US" w:eastAsia="zh-CN"/>
        </w:rPr>
        <w:t>与外界交换的</w:t>
      </w:r>
      <w:r>
        <w:rPr>
          <w:rFonts w:hint="eastAsia" w:cs="Times New Roman"/>
          <w:color w:val="auto"/>
          <w:highlight w:val="none"/>
          <w:vertAlign w:val="baseline"/>
          <w:lang w:val="en-US" w:eastAsia="zh-CN"/>
        </w:rPr>
        <w:t>第j种</w:t>
      </w:r>
      <w:r>
        <w:rPr>
          <w:rFonts w:hint="default" w:cs="Times New Roman"/>
          <w:color w:val="auto"/>
          <w:highlight w:val="none"/>
          <w:vertAlign w:val="baseline"/>
          <w:lang w:val="en-US" w:eastAsia="zh-CN"/>
        </w:rPr>
        <w:t>能</w:t>
      </w:r>
      <w:r>
        <w:rPr>
          <w:rFonts w:hint="eastAsia" w:cs="Times New Roman"/>
          <w:color w:val="auto"/>
          <w:highlight w:val="none"/>
          <w:vertAlign w:val="baseline"/>
          <w:lang w:val="en-US" w:eastAsia="zh-CN"/>
        </w:rPr>
        <w:t>源</w:t>
      </w:r>
      <w:r>
        <w:rPr>
          <w:rFonts w:hint="default" w:cs="Times New Roman"/>
          <w:color w:val="auto"/>
          <w:highlight w:val="none"/>
          <w:vertAlign w:val="baseline"/>
          <w:lang w:val="en-US" w:eastAsia="zh-CN"/>
        </w:rPr>
        <w:t>量</w:t>
      </w:r>
      <w:r>
        <w:rPr>
          <w:rFonts w:hint="eastAsia" w:cs="Times New Roman"/>
          <w:color w:val="auto"/>
          <w:highlight w:val="none"/>
          <w:vertAlign w:val="baseline"/>
          <w:lang w:val="en-US" w:eastAsia="zh-CN"/>
        </w:rPr>
        <w:t>，单位为</w:t>
      </w:r>
      <w:r>
        <w:rPr>
          <w:rFonts w:hint="default" w:cs="Times New Roman"/>
          <w:color w:val="auto"/>
          <w:highlight w:val="none"/>
          <w:vertAlign w:val="baseline"/>
          <w:lang w:val="en-US" w:eastAsia="zh-CN"/>
        </w:rPr>
        <w:t>千克标准</w:t>
      </w:r>
      <w:r>
        <w:rPr>
          <w:rFonts w:hint="eastAsia" w:cs="Times New Roman"/>
          <w:color w:val="auto"/>
          <w:highlight w:val="none"/>
          <w:vertAlign w:val="baseline"/>
          <w:lang w:val="en-US" w:eastAsia="zh-CN"/>
        </w:rPr>
        <w:t>煤</w:t>
      </w:r>
      <w:r>
        <w:rPr>
          <w:rFonts w:hint="default" w:cs="Times New Roman"/>
          <w:color w:val="auto"/>
          <w:highlight w:val="none"/>
          <w:vertAlign w:val="baseline"/>
          <w:lang w:val="en-US" w:eastAsia="zh-CN"/>
        </w:rPr>
        <w:t>（kg</w:t>
      </w:r>
      <w:r>
        <w:rPr>
          <w:rFonts w:hint="eastAsia" w:cs="Times New Roman"/>
          <w:color w:val="auto"/>
          <w:highlight w:val="none"/>
          <w:vertAlign w:val="baseline"/>
          <w:lang w:val="en-US" w:eastAsia="zh-CN"/>
        </w:rPr>
        <w:t>c</w:t>
      </w:r>
      <w:r>
        <w:rPr>
          <w:rFonts w:hint="default" w:cs="Times New Roman"/>
          <w:color w:val="auto"/>
          <w:highlight w:val="none"/>
          <w:vertAlign w:val="baseline"/>
          <w:lang w:val="en-US" w:eastAsia="zh-CN"/>
        </w:rPr>
        <w:t>e）</w:t>
      </w:r>
      <w:r>
        <w:rPr>
          <w:rFonts w:hint="eastAsia" w:cs="Times New Roman"/>
          <w:color w:val="auto"/>
          <w:highlight w:val="none"/>
          <w:vertAlign w:val="baseline"/>
          <w:lang w:val="en-US" w:eastAsia="zh-CN"/>
        </w:rPr>
        <w:t>，向丙烯酸输入的能源计为正值，从丙烯酸输出的能源计为负值。</w:t>
      </w:r>
    </w:p>
    <w:p w14:paraId="1C92B7D9">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6.2 </w:t>
      </w:r>
      <w:r>
        <w:rPr>
          <w:rFonts w:hint="eastAsia" w:cs="Times New Roman"/>
          <w:color w:val="auto"/>
          <w:highlight w:val="none"/>
          <w:vertAlign w:val="baseline"/>
          <w:lang w:val="en-US" w:eastAsia="zh-CN"/>
        </w:rPr>
        <w:t xml:space="preserve"> 丙烯酸单位产品综合能耗按式（2）计算：</w:t>
      </w:r>
    </w:p>
    <w:p w14:paraId="39917240">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default" w:cs="Times New Roman"/>
          <w:color w:val="auto"/>
          <w:highlight w:val="none"/>
          <w:vertAlign w:val="baseline"/>
          <w:lang w:val="en-US" w:eastAsia="zh-CN"/>
        </w:rPr>
      </w:pPr>
      <w:r>
        <w:rPr>
          <w:rFonts w:hint="eastAsia" w:hAnsi="Cambria Math" w:cs="Times New Roman"/>
          <w:i w:val="0"/>
          <w:color w:val="auto"/>
          <w:sz w:val="21"/>
          <w:szCs w:val="22"/>
          <w:highlight w:val="none"/>
          <w:vertAlign w:val="baseline"/>
          <w:lang w:val="en-US" w:eastAsia="zh-CN" w:bidi="ar-SA"/>
        </w:rPr>
        <w:tab/>
      </w:r>
      <m:oMath>
        <m:r>
          <m:rPr>
            <m:sty m:val="p"/>
          </m:rPr>
          <w:rPr>
            <w:rFonts w:hint="eastAsia" w:ascii="Cambria Math" w:hAnsi="Cambria Math" w:cs="Times New Roman"/>
            <w:color w:val="auto"/>
            <w:sz w:val="21"/>
            <w:szCs w:val="22"/>
            <w:highlight w:val="none"/>
            <w:vertAlign w:val="baseline"/>
            <w:lang w:val="en-US" w:eastAsia="zh-CN" w:bidi="ar-SA"/>
          </w:rPr>
          <m:t>e=</m:t>
        </m:r>
        <m:f>
          <m:fPr>
            <m:ctrlPr>
              <w:rPr>
                <w:rFonts w:hint="eastAsia" w:ascii="Cambria Math" w:hAnsi="Cambria Math" w:cs="Times New Roman"/>
                <w:color w:val="auto"/>
                <w:sz w:val="21"/>
                <w:szCs w:val="22"/>
                <w:highlight w:val="none"/>
                <w:vertAlign w:val="baseline"/>
                <w:lang w:val="en-US" w:eastAsia="zh-CN" w:bidi="ar-SA"/>
              </w:rPr>
            </m:ctrlPr>
          </m:fPr>
          <m:num>
            <m:r>
              <m:rPr>
                <m:sty m:val="p"/>
              </m:rPr>
              <w:rPr>
                <w:rFonts w:hint="default" w:ascii="Cambria Math" w:hAnsi="Cambria Math" w:cs="Times New Roman"/>
                <w:color w:val="auto"/>
                <w:sz w:val="21"/>
                <w:szCs w:val="22"/>
                <w:highlight w:val="none"/>
                <w:vertAlign w:val="baseline"/>
                <w:lang w:val="en-US" w:eastAsia="zh-CN" w:bidi="ar-SA"/>
              </w:rPr>
              <m:t>E</m:t>
            </m:r>
            <m:ctrlPr>
              <w:rPr>
                <w:rFonts w:hint="eastAsia" w:ascii="Cambria Math" w:hAnsi="Cambria Math" w:cs="Times New Roman"/>
                <w:color w:val="auto"/>
                <w:sz w:val="21"/>
                <w:szCs w:val="22"/>
                <w:highlight w:val="none"/>
                <w:vertAlign w:val="baseline"/>
                <w:lang w:val="en-US" w:eastAsia="zh-CN" w:bidi="ar-SA"/>
              </w:rPr>
            </m:ctrlPr>
          </m:num>
          <m:den>
            <m:r>
              <m:rPr>
                <m:sty m:val="p"/>
              </m:rPr>
              <w:rPr>
                <w:rFonts w:hint="default" w:ascii="Cambria Math" w:hAnsi="Cambria Math" w:cs="Times New Roman"/>
                <w:color w:val="auto"/>
                <w:sz w:val="21"/>
                <w:szCs w:val="22"/>
                <w:highlight w:val="none"/>
                <w:vertAlign w:val="baseline"/>
                <w:lang w:val="en-US" w:eastAsia="zh-CN" w:bidi="ar-SA"/>
              </w:rPr>
              <m:t>P</m:t>
            </m:r>
            <m:ctrlPr>
              <w:rPr>
                <w:rFonts w:hint="eastAsia" w:ascii="Cambria Math" w:hAnsi="Cambria Math" w:cs="Times New Roman"/>
                <w:color w:val="auto"/>
                <w:sz w:val="21"/>
                <w:szCs w:val="22"/>
                <w:highlight w:val="none"/>
                <w:vertAlign w:val="baseline"/>
                <w:lang w:val="en-US" w:eastAsia="zh-CN" w:bidi="ar-SA"/>
              </w:rPr>
            </m:ctrlPr>
          </m:den>
        </m:f>
      </m:oMath>
      <w:r>
        <w:rPr>
          <w:rFonts w:hint="eastAsia" w:hAnsi="Cambria Math" w:cs="Times New Roman"/>
          <w:i w:val="0"/>
          <w:color w:val="auto"/>
          <w:sz w:val="21"/>
          <w:szCs w:val="22"/>
          <w:highlight w:val="none"/>
          <w:vertAlign w:val="baseline"/>
          <w:lang w:val="en-US" w:eastAsia="zh-CN" w:bidi="ar-SA"/>
        </w:rPr>
        <w:tab/>
      </w:r>
      <w:r>
        <w:rPr>
          <w:rFonts w:hint="eastAsia" w:hAnsi="Cambria Math" w:cs="Times New Roman"/>
          <w:i w:val="0"/>
          <w:color w:val="auto"/>
          <w:sz w:val="21"/>
          <w:szCs w:val="22"/>
          <w:highlight w:val="none"/>
          <w:vertAlign w:val="baseline"/>
          <w:lang w:val="en-US" w:eastAsia="zh-CN" w:bidi="ar-SA"/>
        </w:rPr>
        <w:t>（2）</w:t>
      </w:r>
    </w:p>
    <w:p w14:paraId="702D13F6">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5C4BE4F0">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e — 丙烯酸单位产品综合能耗，单位为</w:t>
      </w:r>
      <w:r>
        <w:rPr>
          <w:rFonts w:hint="default" w:cs="Times New Roman"/>
          <w:color w:val="auto"/>
          <w:highlight w:val="none"/>
          <w:vertAlign w:val="baseline"/>
          <w:lang w:val="en-US" w:eastAsia="zh-CN"/>
        </w:rPr>
        <w:t>千克标准</w:t>
      </w:r>
      <w:r>
        <w:rPr>
          <w:rFonts w:hint="eastAsia" w:cs="Times New Roman"/>
          <w:color w:val="auto"/>
          <w:highlight w:val="none"/>
          <w:vertAlign w:val="baseline"/>
          <w:lang w:val="en-US" w:eastAsia="zh-CN"/>
        </w:rPr>
        <w:t>煤/吨（kgce/t）；</w:t>
      </w:r>
    </w:p>
    <w:p w14:paraId="019F9365">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w:r>
        <w:rPr>
          <w:rFonts w:hint="default" w:cs="Times New Roman"/>
          <w:color w:val="auto"/>
          <w:highlight w:val="none"/>
          <w:vertAlign w:val="baseline"/>
          <w:lang w:val="en-US" w:eastAsia="zh-CN"/>
        </w:rPr>
        <w:t>E</w:t>
      </w:r>
      <w:r>
        <w:rPr>
          <w:rFonts w:hint="eastAsia" w:cs="Times New Roman"/>
          <w:color w:val="auto"/>
          <w:highlight w:val="none"/>
          <w:vertAlign w:val="baseline"/>
          <w:lang w:val="en-US" w:eastAsia="zh-CN"/>
        </w:rPr>
        <w:t xml:space="preserve"> — 统计报告期内丙烯酸综合能耗，单位为</w:t>
      </w:r>
      <w:r>
        <w:rPr>
          <w:rFonts w:hint="default" w:cs="Times New Roman"/>
          <w:color w:val="auto"/>
          <w:highlight w:val="none"/>
          <w:vertAlign w:val="baseline"/>
          <w:lang w:val="en-US" w:eastAsia="zh-CN"/>
        </w:rPr>
        <w:t>千克标准</w:t>
      </w:r>
      <w:r>
        <w:rPr>
          <w:rFonts w:hint="eastAsia" w:cs="Times New Roman"/>
          <w:color w:val="auto"/>
          <w:highlight w:val="none"/>
          <w:vertAlign w:val="baseline"/>
          <w:lang w:val="en-US" w:eastAsia="zh-CN"/>
        </w:rPr>
        <w:t>煤（kgce）；</w:t>
      </w:r>
    </w:p>
    <w:p w14:paraId="70A07585">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P — 统计报告期内丙烯酸合格产品（应符合GB/T 17529.1 标准要求）的实物产量，单位为吨（t）。</w:t>
      </w:r>
    </w:p>
    <w:p w14:paraId="5D6B7A40">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eastAsia" w:ascii="宋体" w:eastAsia="宋体"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6.3  </w:t>
      </w:r>
      <w:r>
        <w:rPr>
          <w:rFonts w:hint="eastAsia" w:cs="Times New Roman"/>
          <w:color w:val="auto"/>
          <w:highlight w:val="none"/>
          <w:vertAlign w:val="baseline"/>
          <w:lang w:val="en-US" w:eastAsia="zh-CN"/>
        </w:rPr>
        <w:t>各种能源应按低位发热量折算为标准煤。各种能源的发热量以企业在报告期内的实测值为准，蒸汽、蒸汽凝结水按照实测的焓值、压力计算，电力采用当量值折算标准煤。没有实测条件的，可参考表 B.1 各种能源折标准煤参考系数进行折算。</w:t>
      </w:r>
    </w:p>
    <w:p w14:paraId="6761565B">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default" w:ascii="黑体" w:hAnsi="黑体" w:eastAsia="黑体" w:cs="Times New Roman"/>
          <w:b w:val="0"/>
          <w:bCs w:val="0"/>
          <w:color w:val="auto"/>
          <w:sz w:val="21"/>
          <w:szCs w:val="21"/>
          <w:lang w:val="en-US" w:eastAsia="zh-CN" w:bidi="ar-SA"/>
        </w:rPr>
      </w:pPr>
      <w:r>
        <w:rPr>
          <w:rFonts w:hint="eastAsia" w:ascii="黑体" w:hAnsi="黑体" w:eastAsia="黑体" w:cs="Times New Roman"/>
          <w:b w:val="0"/>
          <w:bCs w:val="0"/>
          <w:color w:val="auto"/>
          <w:sz w:val="21"/>
          <w:szCs w:val="21"/>
          <w:lang w:val="en-US" w:eastAsia="zh-CN" w:bidi="ar-SA"/>
        </w:rPr>
        <w:t xml:space="preserve">6.4  </w:t>
      </w:r>
      <w:r>
        <w:rPr>
          <w:rFonts w:hint="eastAsia" w:cs="Times New Roman"/>
          <w:color w:val="auto"/>
          <w:highlight w:val="none"/>
          <w:vertAlign w:val="baseline"/>
          <w:lang w:val="en-US" w:eastAsia="zh-CN"/>
        </w:rPr>
        <w:t>丙烯酸产品二氧化碳排放总量按式（3）计算：</w:t>
      </w:r>
    </w:p>
    <w:p w14:paraId="28441222">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default" w:ascii="黑体" w:hAnsi="黑体" w:eastAsia="黑体" w:cs="Times New Roman"/>
          <w:b w:val="0"/>
          <w:bCs w:val="0"/>
          <w:color w:val="auto"/>
          <w:sz w:val="21"/>
          <w:szCs w:val="21"/>
          <w:lang w:val="en-US" w:eastAsia="zh-CN" w:bidi="ar-SA"/>
        </w:rPr>
      </w:pPr>
      <w:r>
        <w:rPr>
          <w:rFonts w:hint="eastAsia" w:hAnsi="Cambria Math" w:eastAsia="黑体" w:cs="Times New Roman"/>
          <w:b w:val="0"/>
          <w:bCs w:val="0"/>
          <w:i w:val="0"/>
          <w:color w:val="auto"/>
          <w:sz w:val="21"/>
          <w:szCs w:val="21"/>
          <w:lang w:val="en-US" w:eastAsia="zh-CN" w:bidi="ar-SA"/>
        </w:rPr>
        <w:tab/>
      </w:r>
      <m:oMath>
        <m:sSub>
          <m:sSubPr>
            <m:ctrlPr>
              <w:rPr>
                <w:rFonts w:hint="default" w:ascii="Cambria Math" w:hAnsi="Cambria Math" w:eastAsia="黑体" w:cs="Times New Roman"/>
                <w:b w:val="0"/>
                <w:bCs w:val="0"/>
                <w:i w:val="0"/>
                <w:color w:val="auto"/>
                <w:sz w:val="21"/>
                <w:szCs w:val="21"/>
                <w:lang w:val="en-US" w:eastAsia="zh-CN" w:bidi="ar-SA"/>
              </w:rPr>
            </m:ctrlPr>
          </m:sSubPr>
          <m:e>
            <m:r>
              <m:rPr>
                <m:sty m:val="p"/>
              </m:rPr>
              <w:rPr>
                <w:rFonts w:hint="default" w:ascii="Cambria Math" w:hAnsi="Cambria Math" w:eastAsia="黑体" w:cs="Times New Roman"/>
                <w:color w:val="auto"/>
                <w:sz w:val="21"/>
                <w:szCs w:val="21"/>
                <w:lang w:val="en-US" w:eastAsia="zh-CN" w:bidi="ar-SA"/>
              </w:rPr>
              <m:t>E</m:t>
            </m:r>
            <m:ctrlPr>
              <w:rPr>
                <w:rFonts w:hint="default" w:ascii="Cambria Math" w:hAnsi="Cambria Math" w:eastAsia="黑体" w:cs="Times New Roman"/>
                <w:b w:val="0"/>
                <w:bCs w:val="0"/>
                <w:i w:val="0"/>
                <w:color w:val="auto"/>
                <w:sz w:val="21"/>
                <w:szCs w:val="21"/>
                <w:lang w:val="en-US" w:eastAsia="zh-CN" w:bidi="ar-SA"/>
              </w:rPr>
            </m:ctrlPr>
          </m:e>
          <m:sub>
            <m:sSub>
              <m:sSubPr>
                <m:ctrlPr>
                  <w:rPr>
                    <w:rFonts w:hint="default" w:ascii="Cambria Math" w:hAnsi="Cambria Math" w:eastAsia="黑体" w:cs="Times New Roman"/>
                    <w:b w:val="0"/>
                    <w:bCs w:val="0"/>
                    <w:i w:val="0"/>
                    <w:color w:val="auto"/>
                    <w:sz w:val="21"/>
                    <w:szCs w:val="21"/>
                    <w:lang w:val="en-US" w:eastAsia="zh-CN" w:bidi="ar-SA"/>
                  </w:rPr>
                </m:ctrlPr>
              </m:sSubPr>
              <m:e>
                <m:r>
                  <m:rPr>
                    <m:sty m:val="p"/>
                  </m:rPr>
                  <w:rPr>
                    <w:rFonts w:hint="default" w:ascii="Cambria Math" w:hAnsi="Cambria Math" w:eastAsia="黑体" w:cs="Times New Roman"/>
                    <w:color w:val="auto"/>
                    <w:sz w:val="21"/>
                    <w:szCs w:val="21"/>
                    <w:lang w:val="en-US" w:eastAsia="zh-CN" w:bidi="ar-SA"/>
                  </w:rPr>
                  <m:t>CO</m:t>
                </m:r>
                <m:ctrlPr>
                  <w:rPr>
                    <w:rFonts w:hint="default" w:ascii="Cambria Math" w:hAnsi="Cambria Math" w:eastAsia="黑体" w:cs="Times New Roman"/>
                    <w:b w:val="0"/>
                    <w:bCs w:val="0"/>
                    <w:i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2</m:t>
                </m:r>
                <m:ctrlPr>
                  <w:rPr>
                    <w:rFonts w:hint="default" w:ascii="Cambria Math" w:hAnsi="Cambria Math" w:eastAsia="黑体" w:cs="Times New Roman"/>
                    <w:b w:val="0"/>
                    <w:bCs w:val="0"/>
                    <w:i w:val="0"/>
                    <w:color w:val="auto"/>
                    <w:sz w:val="21"/>
                    <w:szCs w:val="21"/>
                    <w:lang w:val="en-US" w:eastAsia="zh-CN" w:bidi="ar-SA"/>
                  </w:rPr>
                </m:ctrlPr>
              </m:sub>
            </m:sSub>
            <m:ctrlPr>
              <w:rPr>
                <w:rFonts w:hint="default" w:ascii="Cambria Math" w:hAnsi="Cambria Math" w:eastAsia="黑体" w:cs="Times New Roman"/>
                <w:b w:val="0"/>
                <w:bCs w:val="0"/>
                <w:i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燃烧</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购入电</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购入热</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输出电</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输出热</m:t>
            </m:r>
            <m:ctrlPr>
              <w:rPr>
                <w:rFonts w:hint="eastAsia" w:ascii="Cambria Math" w:hAnsi="Cambria Math" w:eastAsia="黑体" w:cs="Times New Roman"/>
                <w:b w:val="0"/>
                <w:bCs w:val="0"/>
                <w:color w:val="auto"/>
                <w:sz w:val="21"/>
                <w:szCs w:val="21"/>
                <w:lang w:val="en-US" w:eastAsia="zh-CN" w:bidi="ar-SA"/>
              </w:rPr>
            </m:ctrlPr>
          </m:sub>
        </m:sSub>
      </m:oMath>
      <w:r>
        <w:rPr>
          <w:rFonts w:hint="eastAsia" w:hAnsi="Cambria Math" w:eastAsia="黑体" w:cs="Times New Roman"/>
          <w:b w:val="0"/>
          <w:bCs w:val="0"/>
          <w:i w:val="0"/>
          <w:color w:val="auto"/>
          <w:sz w:val="21"/>
          <w:szCs w:val="21"/>
          <w:lang w:val="en-US" w:eastAsia="zh-CN" w:bidi="ar-SA"/>
        </w:rPr>
        <w:tab/>
      </w:r>
      <w:r>
        <w:rPr>
          <w:rFonts w:hint="eastAsia" w:hAnsi="Cambria Math" w:eastAsia="黑体" w:cs="Times New Roman"/>
          <w:b w:val="0"/>
          <w:bCs w:val="0"/>
          <w:i w:val="0"/>
          <w:color w:val="auto"/>
          <w:sz w:val="21"/>
          <w:szCs w:val="21"/>
          <w:lang w:val="en-US" w:eastAsia="zh-CN" w:bidi="ar-SA"/>
        </w:rPr>
        <w:t>（3）</w:t>
      </w:r>
    </w:p>
    <w:p w14:paraId="4FE1A691">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06539D65">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CO</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2</m:t>
                </m:r>
                <m:ctrlPr>
                  <w:rPr>
                    <w:rFonts w:hint="eastAsia" w:ascii="Cambria Math" w:hAnsi="Cambria Math" w:cs="Times New Roman"/>
                    <w:color w:val="auto"/>
                    <w:highlight w:val="none"/>
                    <w:vertAlign w:val="baseline"/>
                    <w:lang w:val="en-US" w:eastAsia="zh-CN"/>
                  </w:rPr>
                </m:ctrlPr>
              </m:sub>
            </m:sSub>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丙烯酸生产企业二氧化碳排放总量，单位为吨二氧化碳（tCO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63E6B4DE">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燃烧</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统计报告期内化石燃料燃烧产生的二氧化碳排放总量，单位为吨二氧化碳（tCO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53171E9B">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购入电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统计报告期内购入电力产生的二氧化碳排放总量，单位为吨二氧化碳（tCO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35100CA4">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购入热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统计报告期内购入热力产生的二氧化碳排放总量，单位为吨二氧化碳（tCO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7DEF48FA">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输出电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统计报告期内输出电力产生的二氧化碳排放总量，单位为吨二氧化碳（tCO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6C462AD4">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输出热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统计报告期内输出热力产生的二氧化碳排放总量，单位为吨二氧化碳（tCO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139FEB15">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cs="Times New Roman"/>
          <w:color w:val="auto"/>
          <w:highlight w:val="none"/>
          <w:vertAlign w:val="baseline"/>
          <w:lang w:val="en-US" w:eastAsia="zh-CN"/>
        </w:rPr>
      </w:pPr>
    </w:p>
    <w:p w14:paraId="5A90A14F">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6.5 </w:t>
      </w:r>
      <w:r>
        <w:rPr>
          <w:rFonts w:hint="eastAsia" w:ascii="黑体" w:hAnsi="黑体" w:eastAsia="黑体" w:cs="Times New Roman"/>
          <w:b w:val="0"/>
          <w:bCs w:val="0"/>
          <w:color w:val="auto"/>
          <w:sz w:val="21"/>
          <w:szCs w:val="21"/>
          <w:highlight w:val="none"/>
          <w:lang w:val="en-US" w:eastAsia="zh-CN" w:bidi="ar-SA"/>
        </w:rPr>
        <w:t xml:space="preserve"> </w:t>
      </w:r>
      <w:r>
        <w:rPr>
          <w:rFonts w:hint="eastAsia" w:cs="Times New Roman"/>
          <w:color w:val="auto"/>
          <w:highlight w:val="none"/>
          <w:vertAlign w:val="baseline"/>
          <w:lang w:val="en-US" w:eastAsia="zh-CN"/>
        </w:rPr>
        <w:t xml:space="preserve">丙烯酸企业化石燃料燃烧排放按式（4） </w:t>
      </w:r>
      <w:r>
        <w:rPr>
          <w:rFonts w:hint="default" w:ascii="Times New Roman" w:hAnsi="Times New Roman" w:cs="Times New Roman"/>
          <w:color w:val="auto"/>
          <w:highlight w:val="none"/>
          <w:vertAlign w:val="baseline"/>
          <w:lang w:val="en-US" w:eastAsia="zh-CN"/>
        </w:rPr>
        <w:t>~</w:t>
      </w:r>
      <w:r>
        <w:rPr>
          <w:rFonts w:hint="eastAsia" w:ascii="Times New Roman" w:hAnsi="Times New Roman" w:cs="Times New Roman"/>
          <w:color w:val="auto"/>
          <w:highlight w:val="none"/>
          <w:vertAlign w:val="baseline"/>
          <w:lang w:val="en-US" w:eastAsia="zh-CN"/>
        </w:rPr>
        <w:t xml:space="preserve"> </w:t>
      </w:r>
      <w:r>
        <w:rPr>
          <w:rFonts w:hint="eastAsia" w:cs="Times New Roman"/>
          <w:color w:val="auto"/>
          <w:highlight w:val="none"/>
          <w:vertAlign w:val="baseline"/>
          <w:lang w:val="en-US" w:eastAsia="zh-CN"/>
        </w:rPr>
        <w:t>式（6）计算：</w:t>
      </w:r>
    </w:p>
    <w:p w14:paraId="1A8086F3">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eastAsia" w:ascii="黑体" w:hAnsi="黑体" w:eastAsia="黑体" w:cs="Times New Roman"/>
          <w:b w:val="0"/>
          <w:bCs w:val="0"/>
          <w:color w:val="auto"/>
          <w:sz w:val="21"/>
          <w:szCs w:val="21"/>
          <w:highlight w:val="none"/>
          <w:lang w:val="en-US" w:eastAsia="zh-CN" w:bidi="ar-SA"/>
        </w:rPr>
      </w:pPr>
      <w:r>
        <w:rPr>
          <w:rFonts w:hint="eastAsia" w:hAnsi="Cambria Math" w:eastAsia="黑体" w:cs="Times New Roman"/>
          <w:b w:val="0"/>
          <w:bCs w:val="0"/>
          <w:i w:val="0"/>
          <w:color w:val="auto"/>
          <w:sz w:val="21"/>
          <w:szCs w:val="21"/>
          <w:highlight w:val="none"/>
          <w:lang w:val="en-US" w:eastAsia="zh-CN" w:bidi="ar-SA"/>
        </w:rPr>
        <w:tab/>
      </w:r>
      <m:oMath>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eastAsia" w:ascii="Cambria Math" w:hAnsi="Cambria Math" w:eastAsia="黑体" w:cs="Times New Roman"/>
                <w:color w:val="auto"/>
                <w:sz w:val="21"/>
                <w:szCs w:val="21"/>
                <w:highlight w:val="none"/>
                <w:lang w:val="en-US" w:eastAsia="zh-CN" w:bidi="ar-SA"/>
              </w:rPr>
              <m:t>E</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燃烧</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eastAsia" w:ascii="Cambria Math" w:hAnsi="Cambria Math" w:eastAsia="黑体" w:cs="Times New Roman"/>
            <w:color w:val="auto"/>
            <w:sz w:val="21"/>
            <w:szCs w:val="21"/>
            <w:highlight w:val="none"/>
            <w:lang w:val="en-US" w:eastAsia="zh-CN" w:bidi="ar-SA"/>
          </w:rPr>
          <m:t>=</m:t>
        </m:r>
        <m:nary>
          <m:naryPr>
            <m:chr m:val="∑"/>
            <m:limLoc m:val="undOvr"/>
            <m:ctrlPr>
              <w:rPr>
                <w:rFonts w:hint="eastAsia" w:ascii="Cambria Math" w:hAnsi="Cambria Math" w:eastAsia="黑体" w:cs="Times New Roman"/>
                <w:b w:val="0"/>
                <w:bCs w:val="0"/>
                <w:color w:val="auto"/>
                <w:sz w:val="21"/>
                <w:szCs w:val="21"/>
                <w:highlight w:val="none"/>
                <w:lang w:val="en-US" w:eastAsia="zh-CN" w:bidi="ar-SA"/>
              </w:rPr>
            </m:ctrlPr>
          </m:naryPr>
          <m:sub>
            <m:r>
              <m:rPr>
                <m:sty m:val="p"/>
              </m:rPr>
              <w:rPr>
                <w:rFonts w:hint="eastAsia" w:ascii="Cambria Math" w:hAnsi="Cambria Math" w:eastAsia="黑体" w:cs="Times New Roman"/>
                <w:color w:val="auto"/>
                <w:sz w:val="21"/>
                <w:szCs w:val="21"/>
                <w:highlight w:val="none"/>
                <w:lang w:val="en-US" w:eastAsia="zh-CN" w:bidi="ar-SA"/>
              </w:rPr>
              <m:t>i=1</m:t>
            </m:r>
            <m:ctrlPr>
              <w:rPr>
                <w:rFonts w:hint="eastAsia" w:ascii="Cambria Math" w:hAnsi="Cambria Math" w:eastAsia="黑体" w:cs="Times New Roman"/>
                <w:b w:val="0"/>
                <w:bCs w:val="0"/>
                <w:color w:val="auto"/>
                <w:sz w:val="21"/>
                <w:szCs w:val="21"/>
                <w:highlight w:val="none"/>
                <w:lang w:val="en-US" w:eastAsia="zh-CN" w:bidi="ar-SA"/>
              </w:rPr>
            </m:ctrlPr>
          </m:sub>
          <m:sup>
            <m:r>
              <m:rPr>
                <m:sty m:val="p"/>
              </m:rPr>
              <w:rPr>
                <w:rFonts w:hint="default" w:ascii="Cambria Math" w:hAnsi="Cambria Math" w:eastAsia="黑体" w:cs="Times New Roman"/>
                <w:color w:val="auto"/>
                <w:sz w:val="21"/>
                <w:szCs w:val="21"/>
                <w:highlight w:val="none"/>
                <w:lang w:val="en-US" w:eastAsia="zh-CN" w:bidi="ar-SA"/>
              </w:rPr>
              <m:t>j</m:t>
            </m:r>
            <m:ctrlPr>
              <w:rPr>
                <w:rFonts w:hint="default" w:ascii="Cambria Math" w:hAnsi="Cambria Math" w:eastAsia="黑体" w:cs="Times New Roman"/>
                <w:b w:val="0"/>
                <w:bCs w:val="0"/>
                <w:color w:val="auto"/>
                <w:sz w:val="21"/>
                <w:szCs w:val="21"/>
                <w:highlight w:val="none"/>
                <w:lang w:val="en-US" w:eastAsia="zh-CN" w:bidi="ar-SA"/>
              </w:rPr>
            </m:ctrlPr>
          </m:sup>
          <m:e>
            <m:r>
              <m:rPr>
                <m:sty m:val="p"/>
              </m:rPr>
              <w:rPr>
                <w:rFonts w:hint="eastAsia" w:ascii="Cambria Math" w:hAnsi="Cambria Math" w:eastAsia="黑体" w:cs="Times New Roman"/>
                <w:color w:val="auto"/>
                <w:sz w:val="21"/>
                <w:szCs w:val="21"/>
                <w:highlight w:val="none"/>
                <w:lang w:val="en-US" w:eastAsia="zh-CN" w:bidi="ar-SA"/>
              </w:rPr>
              <m:t>（</m:t>
            </m:r>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eastAsia" w:ascii="Cambria Math" w:hAnsi="Cambria Math" w:eastAsia="黑体" w:cs="Times New Roman"/>
                    <w:color w:val="auto"/>
                    <w:sz w:val="21"/>
                    <w:szCs w:val="21"/>
                    <w:highlight w:val="none"/>
                    <w:lang w:val="en-US" w:eastAsia="zh-CN" w:bidi="ar-SA"/>
                  </w:rPr>
                  <m:t>AD</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eastAsia" w:ascii="Cambria Math" w:hAnsi="Cambria Math" w:eastAsia="黑体" w:cs="Times New Roman"/>
                <w:color w:val="auto"/>
                <w:sz w:val="21"/>
                <w:szCs w:val="21"/>
                <w:highlight w:val="none"/>
                <w:lang w:val="en-US" w:eastAsia="zh-CN" w:bidi="ar-SA"/>
              </w:rPr>
              <m:t>×</m:t>
            </m:r>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default" w:ascii="Cambria Math" w:hAnsi="Cambria Math" w:eastAsia="黑体" w:cs="Times New Roman"/>
                    <w:color w:val="auto"/>
                    <w:sz w:val="21"/>
                    <w:szCs w:val="21"/>
                    <w:highlight w:val="none"/>
                    <w:lang w:val="en-US" w:eastAsia="zh-CN" w:bidi="ar-SA"/>
                  </w:rPr>
                  <m:t>EF</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eastAsia" w:ascii="Cambria Math" w:hAnsi="Cambria Math" w:eastAsia="黑体" w:cs="Times New Roman"/>
                <w:color w:val="auto"/>
                <w:sz w:val="21"/>
                <w:szCs w:val="21"/>
                <w:highlight w:val="none"/>
                <w:lang w:val="en-US" w:eastAsia="zh-CN" w:bidi="ar-SA"/>
              </w:rPr>
              <m:t>）</m:t>
            </m:r>
            <m:ctrlPr>
              <w:rPr>
                <w:rFonts w:hint="eastAsia" w:ascii="Cambria Math" w:hAnsi="Cambria Math" w:eastAsia="黑体" w:cs="Times New Roman"/>
                <w:b w:val="0"/>
                <w:bCs w:val="0"/>
                <w:color w:val="auto"/>
                <w:sz w:val="21"/>
                <w:szCs w:val="21"/>
                <w:highlight w:val="none"/>
                <w:lang w:val="en-US" w:eastAsia="zh-CN" w:bidi="ar-SA"/>
              </w:rPr>
            </m:ctrlPr>
          </m:e>
        </m:nary>
      </m:oMath>
      <w:r>
        <w:rPr>
          <w:rFonts w:hint="eastAsia" w:hAnsi="Cambria Math" w:eastAsia="黑体" w:cs="Times New Roman"/>
          <w:b w:val="0"/>
          <w:bCs w:val="0"/>
          <w:i w:val="0"/>
          <w:color w:val="auto"/>
          <w:sz w:val="21"/>
          <w:szCs w:val="21"/>
          <w:highlight w:val="none"/>
          <w:lang w:val="en-US" w:eastAsia="zh-CN" w:bidi="ar-SA"/>
        </w:rPr>
        <w:tab/>
      </w:r>
      <w:r>
        <w:rPr>
          <w:rFonts w:hint="eastAsia" w:hAnsi="Cambria Math" w:eastAsia="黑体" w:cs="Times New Roman"/>
          <w:b w:val="0"/>
          <w:bCs w:val="0"/>
          <w:i w:val="0"/>
          <w:color w:val="auto"/>
          <w:sz w:val="21"/>
          <w:szCs w:val="21"/>
          <w:highlight w:val="none"/>
          <w:lang w:val="en-US" w:eastAsia="zh-CN" w:bidi="ar-SA"/>
        </w:rPr>
        <w:t>（4）</w:t>
      </w:r>
    </w:p>
    <w:p w14:paraId="6B384750">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eastAsia" w:ascii="黑体" w:hAnsi="黑体" w:eastAsia="黑体" w:cs="Times New Roman"/>
          <w:b w:val="0"/>
          <w:bCs w:val="0"/>
          <w:color w:val="auto"/>
          <w:sz w:val="21"/>
          <w:szCs w:val="21"/>
          <w:highlight w:val="none"/>
          <w:lang w:val="en-US" w:eastAsia="zh-CN" w:bidi="ar-SA"/>
        </w:rPr>
      </w:pPr>
      <w:r>
        <w:rPr>
          <w:rFonts w:hint="eastAsia" w:hAnsi="Cambria Math" w:eastAsia="黑体" w:cs="Times New Roman"/>
          <w:b w:val="0"/>
          <w:bCs w:val="0"/>
          <w:i w:val="0"/>
          <w:color w:val="auto"/>
          <w:sz w:val="21"/>
          <w:szCs w:val="21"/>
          <w:highlight w:val="none"/>
          <w:lang w:val="en-US" w:eastAsia="zh-CN" w:bidi="ar-SA"/>
        </w:rPr>
        <w:tab/>
      </w:r>
      <m:oMath>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eastAsia" w:ascii="Cambria Math" w:hAnsi="Cambria Math" w:eastAsia="黑体" w:cs="Times New Roman"/>
                <w:color w:val="auto"/>
                <w:sz w:val="21"/>
                <w:szCs w:val="21"/>
                <w:highlight w:val="none"/>
                <w:lang w:val="en-US" w:eastAsia="zh-CN" w:bidi="ar-SA"/>
              </w:rPr>
              <m:t>AD</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eastAsia" w:ascii="Cambria Math" w:hAnsi="Cambria Math" w:eastAsia="黑体" w:cs="Times New Roman"/>
            <w:color w:val="auto"/>
            <w:sz w:val="21"/>
            <w:szCs w:val="21"/>
            <w:highlight w:val="none"/>
            <w:lang w:val="en-US" w:eastAsia="zh-CN" w:bidi="ar-SA"/>
          </w:rPr>
          <m:t>=</m:t>
        </m:r>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default" w:ascii="Cambria Math" w:hAnsi="Cambria Math" w:eastAsia="黑体" w:cs="Times New Roman"/>
                <w:color w:val="auto"/>
                <w:sz w:val="21"/>
                <w:szCs w:val="21"/>
                <w:highlight w:val="none"/>
                <w:lang w:val="en-US" w:eastAsia="zh-CN" w:bidi="ar-SA"/>
              </w:rPr>
              <m:t>NCV</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default" w:ascii="Cambria Math" w:hAnsi="Cambria Math" w:eastAsia="黑体" w:cs="Cambria Math"/>
            <w:color w:val="auto"/>
            <w:sz w:val="21"/>
            <w:szCs w:val="21"/>
            <w:highlight w:val="none"/>
            <w:lang w:val="en-US" w:eastAsia="zh-CN" w:bidi="ar-SA"/>
          </w:rPr>
          <m:t>×</m:t>
        </m:r>
        <m:sSub>
          <m:sSubPr>
            <m:ctrlPr>
              <w:rPr>
                <w:rFonts w:hint="default" w:ascii="Cambria Math" w:hAnsi="Cambria Math" w:eastAsia="黑体" w:cs="Cambria Math"/>
                <w:b w:val="0"/>
                <w:bCs w:val="0"/>
                <w:color w:val="auto"/>
                <w:sz w:val="21"/>
                <w:szCs w:val="21"/>
                <w:highlight w:val="none"/>
                <w:lang w:val="en-US" w:eastAsia="zh-CN" w:bidi="ar-SA"/>
              </w:rPr>
            </m:ctrlPr>
          </m:sSubPr>
          <m:e>
            <m:r>
              <m:rPr>
                <m:sty m:val="p"/>
              </m:rPr>
              <w:rPr>
                <w:rFonts w:hint="default" w:ascii="Cambria Math" w:hAnsi="Cambria Math" w:eastAsia="黑体" w:cs="Cambria Math"/>
                <w:color w:val="auto"/>
                <w:sz w:val="21"/>
                <w:szCs w:val="21"/>
                <w:highlight w:val="none"/>
                <w:lang w:val="en-US" w:eastAsia="zh-CN" w:bidi="ar-SA"/>
              </w:rPr>
              <m:t>FC</m:t>
            </m:r>
            <m:ctrlPr>
              <w:rPr>
                <w:rFonts w:hint="default" w:ascii="Cambria Math" w:hAnsi="Cambria Math" w:eastAsia="黑体" w:cs="Cambria Math"/>
                <w:b w:val="0"/>
                <w:bCs w:val="0"/>
                <w:color w:val="auto"/>
                <w:sz w:val="21"/>
                <w:szCs w:val="21"/>
                <w:highlight w:val="none"/>
                <w:lang w:val="en-US" w:eastAsia="zh-CN" w:bidi="ar-SA"/>
              </w:rPr>
            </m:ctrlPr>
          </m:e>
          <m:sub>
            <m:r>
              <m:rPr>
                <m:sty m:val="p"/>
              </m:rPr>
              <w:rPr>
                <w:rFonts w:hint="eastAsia" w:ascii="Cambria Math" w:hAnsi="Cambria Math" w:eastAsia="黑体" w:cs="Cambria Math"/>
                <w:color w:val="auto"/>
                <w:sz w:val="21"/>
                <w:szCs w:val="21"/>
                <w:highlight w:val="none"/>
                <w:lang w:val="en-US" w:eastAsia="zh-CN" w:bidi="ar-SA"/>
              </w:rPr>
              <m:t>i</m:t>
            </m:r>
            <m:ctrlPr>
              <w:rPr>
                <w:rFonts w:hint="default" w:ascii="Cambria Math" w:hAnsi="Cambria Math" w:eastAsia="黑体" w:cs="Cambria Math"/>
                <w:b w:val="0"/>
                <w:bCs w:val="0"/>
                <w:color w:val="auto"/>
                <w:sz w:val="21"/>
                <w:szCs w:val="21"/>
                <w:highlight w:val="none"/>
                <w:lang w:val="en-US" w:eastAsia="zh-CN" w:bidi="ar-SA"/>
              </w:rPr>
            </m:ctrlPr>
          </m:sub>
        </m:sSub>
      </m:oMath>
      <w:r>
        <w:rPr>
          <w:rFonts w:hint="eastAsia" w:hAnsi="Cambria Math" w:eastAsia="黑体" w:cs="Cambria Math"/>
          <w:b w:val="0"/>
          <w:bCs w:val="0"/>
          <w:i w:val="0"/>
          <w:color w:val="auto"/>
          <w:sz w:val="21"/>
          <w:szCs w:val="21"/>
          <w:highlight w:val="none"/>
          <w:lang w:val="en-US" w:eastAsia="zh-CN" w:bidi="ar-SA"/>
        </w:rPr>
        <w:tab/>
      </w:r>
      <w:r>
        <w:rPr>
          <w:rFonts w:hint="eastAsia" w:hAnsi="Cambria Math" w:eastAsia="黑体" w:cs="Cambria Math"/>
          <w:b w:val="0"/>
          <w:bCs w:val="0"/>
          <w:i w:val="0"/>
          <w:color w:val="auto"/>
          <w:sz w:val="21"/>
          <w:szCs w:val="21"/>
          <w:highlight w:val="none"/>
          <w:lang w:val="en-US" w:eastAsia="zh-CN" w:bidi="ar-SA"/>
        </w:rPr>
        <w:t>（5）</w:t>
      </w:r>
    </w:p>
    <w:p w14:paraId="46DCB09B">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eastAsia" w:ascii="黑体" w:hAnsi="黑体" w:eastAsia="黑体" w:cs="Times New Roman"/>
          <w:b w:val="0"/>
          <w:bCs w:val="0"/>
          <w:color w:val="auto"/>
          <w:sz w:val="21"/>
          <w:szCs w:val="21"/>
          <w:highlight w:val="none"/>
          <w:lang w:val="en-US" w:eastAsia="zh-CN" w:bidi="ar-SA"/>
        </w:rPr>
      </w:pPr>
      <w:r>
        <w:rPr>
          <w:rFonts w:hint="eastAsia" w:hAnsi="Cambria Math" w:eastAsia="黑体" w:cs="Times New Roman"/>
          <w:b w:val="0"/>
          <w:bCs w:val="0"/>
          <w:i w:val="0"/>
          <w:color w:val="auto"/>
          <w:sz w:val="21"/>
          <w:szCs w:val="21"/>
          <w:highlight w:val="none"/>
          <w:lang w:val="en-US" w:eastAsia="zh-CN" w:bidi="ar-SA"/>
        </w:rPr>
        <w:tab/>
      </w:r>
      <m:oMath>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eastAsia" w:ascii="Cambria Math" w:hAnsi="Cambria Math" w:eastAsia="黑体" w:cs="Times New Roman"/>
                <w:color w:val="auto"/>
                <w:sz w:val="21"/>
                <w:szCs w:val="21"/>
                <w:highlight w:val="none"/>
                <w:lang w:val="en-US" w:eastAsia="zh-CN" w:bidi="ar-SA"/>
              </w:rPr>
              <m:t>EF</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eastAsia" w:ascii="Cambria Math" w:hAnsi="Cambria Math" w:eastAsia="黑体" w:cs="Times New Roman"/>
            <w:color w:val="auto"/>
            <w:sz w:val="21"/>
            <w:szCs w:val="21"/>
            <w:highlight w:val="none"/>
            <w:lang w:val="en-US" w:eastAsia="zh-CN" w:bidi="ar-SA"/>
          </w:rPr>
          <m:t>=</m:t>
        </m:r>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eastAsia" w:ascii="Cambria Math" w:hAnsi="Cambria Math" w:eastAsia="黑体" w:cs="Times New Roman"/>
                <w:color w:val="auto"/>
                <w:sz w:val="21"/>
                <w:szCs w:val="21"/>
                <w:highlight w:val="none"/>
                <w:lang w:val="en-US" w:eastAsia="zh-CN" w:bidi="ar-SA"/>
              </w:rPr>
              <m:t>CC</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eastAsia" w:ascii="Cambria Math" w:hAnsi="Cambria Math" w:eastAsia="黑体" w:cs="Times New Roman"/>
            <w:color w:val="auto"/>
            <w:sz w:val="21"/>
            <w:szCs w:val="21"/>
            <w:highlight w:val="none"/>
            <w:lang w:val="en-US" w:eastAsia="zh-CN" w:bidi="ar-SA"/>
          </w:rPr>
          <m:t>×</m:t>
        </m:r>
        <m:sSub>
          <m:sSubPr>
            <m:ctrlPr>
              <w:rPr>
                <w:rFonts w:hint="eastAsia" w:ascii="Cambria Math" w:hAnsi="Cambria Math" w:eastAsia="黑体" w:cs="Times New Roman"/>
                <w:b w:val="0"/>
                <w:bCs w:val="0"/>
                <w:color w:val="auto"/>
                <w:sz w:val="21"/>
                <w:szCs w:val="21"/>
                <w:highlight w:val="none"/>
                <w:lang w:val="en-US" w:eastAsia="zh-CN" w:bidi="ar-SA"/>
              </w:rPr>
            </m:ctrlPr>
          </m:sSubPr>
          <m:e>
            <m:r>
              <m:rPr>
                <m:sty m:val="p"/>
              </m:rPr>
              <w:rPr>
                <w:rFonts w:hint="default" w:ascii="Cambria Math" w:hAnsi="Cambria Math" w:eastAsia="黑体" w:cs="Times New Roman"/>
                <w:color w:val="auto"/>
                <w:sz w:val="21"/>
                <w:szCs w:val="21"/>
                <w:highlight w:val="none"/>
                <w:lang w:val="en-US" w:eastAsia="zh-CN" w:bidi="ar-SA"/>
              </w:rPr>
              <m:t>O</m:t>
            </m:r>
            <m:r>
              <m:rPr>
                <m:sty m:val="p"/>
              </m:rPr>
              <w:rPr>
                <w:rFonts w:hint="eastAsia" w:ascii="Cambria Math" w:hAnsi="Cambria Math" w:eastAsia="黑体" w:cs="Times New Roman"/>
                <w:color w:val="auto"/>
                <w:sz w:val="21"/>
                <w:szCs w:val="21"/>
                <w:highlight w:val="none"/>
                <w:lang w:val="en-US" w:eastAsia="zh-CN" w:bidi="ar-SA"/>
              </w:rPr>
              <m:t>F</m:t>
            </m:r>
            <m:ctrlPr>
              <w:rPr>
                <w:rFonts w:hint="eastAsia" w:ascii="Cambria Math" w:hAnsi="Cambria Math" w:eastAsia="黑体" w:cs="Times New Roman"/>
                <w:b w:val="0"/>
                <w:bCs w:val="0"/>
                <w:color w:val="auto"/>
                <w:sz w:val="21"/>
                <w:szCs w:val="21"/>
                <w:highlight w:val="none"/>
                <w:lang w:val="en-US" w:eastAsia="zh-CN" w:bidi="ar-SA"/>
              </w:rPr>
            </m:ctrlPr>
          </m:e>
          <m:sub>
            <m:r>
              <m:rPr>
                <m:sty m:val="p"/>
              </m:rPr>
              <w:rPr>
                <w:rFonts w:hint="eastAsia" w:ascii="Cambria Math" w:hAnsi="Cambria Math" w:eastAsia="黑体" w:cs="Times New Roman"/>
                <w:color w:val="auto"/>
                <w:sz w:val="21"/>
                <w:szCs w:val="21"/>
                <w:highlight w:val="none"/>
                <w:lang w:val="en-US" w:eastAsia="zh-CN" w:bidi="ar-SA"/>
              </w:rPr>
              <m:t>i</m:t>
            </m:r>
            <m:ctrlPr>
              <w:rPr>
                <w:rFonts w:hint="eastAsia" w:ascii="Cambria Math" w:hAnsi="Cambria Math" w:eastAsia="黑体" w:cs="Times New Roman"/>
                <w:b w:val="0"/>
                <w:bCs w:val="0"/>
                <w:color w:val="auto"/>
                <w:sz w:val="21"/>
                <w:szCs w:val="21"/>
                <w:highlight w:val="none"/>
                <w:lang w:val="en-US" w:eastAsia="zh-CN" w:bidi="ar-SA"/>
              </w:rPr>
            </m:ctrlPr>
          </m:sub>
        </m:sSub>
        <m:r>
          <m:rPr>
            <m:sty m:val="p"/>
          </m:rPr>
          <w:rPr>
            <w:rFonts w:hint="default" w:ascii="Cambria Math" w:hAnsi="Cambria Math" w:eastAsia="黑体" w:cs="Cambria Math"/>
            <w:color w:val="auto"/>
            <w:sz w:val="21"/>
            <w:szCs w:val="21"/>
            <w:highlight w:val="none"/>
            <w:lang w:val="en-US" w:eastAsia="zh-CN" w:bidi="ar-SA"/>
          </w:rPr>
          <m:t>×</m:t>
        </m:r>
        <m:f>
          <m:fPr>
            <m:ctrlPr>
              <w:rPr>
                <w:rFonts w:hint="default" w:ascii="Cambria Math" w:hAnsi="Cambria Math" w:eastAsia="黑体" w:cs="Cambria Math"/>
                <w:b w:val="0"/>
                <w:bCs w:val="0"/>
                <w:color w:val="auto"/>
                <w:sz w:val="21"/>
                <w:szCs w:val="21"/>
                <w:highlight w:val="none"/>
                <w:lang w:val="en-US" w:eastAsia="zh-CN" w:bidi="ar-SA"/>
              </w:rPr>
            </m:ctrlPr>
          </m:fPr>
          <m:num>
            <m:r>
              <m:rPr>
                <m:sty m:val="p"/>
              </m:rPr>
              <w:rPr>
                <w:rFonts w:hint="eastAsia" w:ascii="Cambria Math" w:hAnsi="Cambria Math" w:eastAsia="黑体" w:cs="Cambria Math"/>
                <w:color w:val="auto"/>
                <w:sz w:val="21"/>
                <w:szCs w:val="21"/>
                <w:highlight w:val="none"/>
                <w:lang w:val="en-US" w:eastAsia="zh-CN" w:bidi="ar-SA"/>
              </w:rPr>
              <m:t>44</m:t>
            </m:r>
            <m:ctrlPr>
              <w:rPr>
                <w:rFonts w:hint="default" w:ascii="Cambria Math" w:hAnsi="Cambria Math" w:eastAsia="黑体" w:cs="Cambria Math"/>
                <w:b w:val="0"/>
                <w:bCs w:val="0"/>
                <w:color w:val="auto"/>
                <w:sz w:val="21"/>
                <w:szCs w:val="21"/>
                <w:highlight w:val="none"/>
                <w:lang w:val="en-US" w:eastAsia="zh-CN" w:bidi="ar-SA"/>
              </w:rPr>
            </m:ctrlPr>
          </m:num>
          <m:den>
            <m:r>
              <m:rPr>
                <m:sty m:val="p"/>
              </m:rPr>
              <w:rPr>
                <w:rFonts w:hint="eastAsia" w:ascii="Cambria Math" w:hAnsi="Cambria Math" w:eastAsia="黑体" w:cs="Cambria Math"/>
                <w:color w:val="auto"/>
                <w:sz w:val="21"/>
                <w:szCs w:val="21"/>
                <w:highlight w:val="none"/>
                <w:lang w:val="en-US" w:eastAsia="zh-CN" w:bidi="ar-SA"/>
              </w:rPr>
              <m:t>12</m:t>
            </m:r>
            <m:ctrlPr>
              <w:rPr>
                <w:rFonts w:hint="default" w:ascii="Cambria Math" w:hAnsi="Cambria Math" w:eastAsia="黑体" w:cs="Cambria Math"/>
                <w:b w:val="0"/>
                <w:bCs w:val="0"/>
                <w:color w:val="auto"/>
                <w:sz w:val="21"/>
                <w:szCs w:val="21"/>
                <w:highlight w:val="none"/>
                <w:lang w:val="en-US" w:eastAsia="zh-CN" w:bidi="ar-SA"/>
              </w:rPr>
            </m:ctrlPr>
          </m:den>
        </m:f>
      </m:oMath>
      <w:r>
        <w:rPr>
          <w:rFonts w:hint="eastAsia" w:hAnsi="Cambria Math" w:eastAsia="黑体" w:cs="Cambria Math"/>
          <w:b w:val="0"/>
          <w:bCs w:val="0"/>
          <w:i w:val="0"/>
          <w:color w:val="auto"/>
          <w:sz w:val="21"/>
          <w:szCs w:val="21"/>
          <w:highlight w:val="none"/>
          <w:lang w:val="en-US" w:eastAsia="zh-CN" w:bidi="ar-SA"/>
        </w:rPr>
        <w:tab/>
      </w:r>
      <w:r>
        <w:rPr>
          <w:rFonts w:hint="eastAsia" w:hAnsi="Cambria Math" w:eastAsia="黑体" w:cs="Cambria Math"/>
          <w:b w:val="0"/>
          <w:bCs w:val="0"/>
          <w:i w:val="0"/>
          <w:color w:val="auto"/>
          <w:sz w:val="21"/>
          <w:szCs w:val="21"/>
          <w:highlight w:val="none"/>
          <w:lang w:val="en-US" w:eastAsia="zh-CN" w:bidi="ar-SA"/>
        </w:rPr>
        <w:t>（6）</w:t>
      </w:r>
    </w:p>
    <w:p w14:paraId="1EB4F213">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6092CD2B">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燃烧</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丙烯酸生产企业统计报告期内化石燃料燃烧产生的二氧化碳排放总量，单位为吨二氧化碳（tCO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15DA40EE">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r>
          <m:rPr>
            <m:sty m:val="p"/>
          </m:rPr>
          <w:rPr>
            <w:rFonts w:hint="default" w:ascii="Cambria Math" w:hAnsi="Cambria Math" w:cs="Times New Roman"/>
            <w:color w:val="auto"/>
            <w:highlight w:val="none"/>
            <w:vertAlign w:val="baseline"/>
            <w:lang w:val="en-US" w:eastAsia="zh-CN"/>
          </w:rPr>
          <m:t>j</m:t>
        </m:r>
      </m:oMath>
      <w:r>
        <w:rPr>
          <w:rFonts w:hint="eastAsia" w:cs="Times New Roman"/>
          <w:color w:val="auto"/>
          <w:highlight w:val="none"/>
          <w:vertAlign w:val="baseline"/>
          <w:lang w:val="en-US" w:eastAsia="zh-CN"/>
        </w:rPr>
        <w:t xml:space="preserve"> — 统计报告期内消耗的化石燃料种类；</w:t>
      </w:r>
    </w:p>
    <w:p w14:paraId="278E51B9">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AD</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i</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统计报告期内第 i 种化石燃料用作化石燃料燃烧的活动数据，不包括生产过程中产生的副产品或可燃废气被回收并作为化石燃料燃烧的部分，单位为吉焦（GJ）；</w:t>
      </w:r>
    </w:p>
    <w:p w14:paraId="1DBB94AA">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EF</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i</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统计报告期内第 i 种化石燃料的二氧化碳排放因子，单位为吨二氧化碳/吉焦（tCO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/GJ）；</w:t>
      </w:r>
    </w:p>
    <w:p w14:paraId="22710513">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cs="Times New Roman"/>
          <w:color w:val="auto"/>
          <w:highlight w:val="none"/>
          <w:vertAlign w:val="baseline"/>
          <w:lang w:val="en-US" w:eastAsia="zh-CN"/>
        </w:rPr>
      </w:pPr>
      <m:oMath>
        <m:sSub>
          <m:sSubPr>
            <m:ctrlPr>
              <w:rPr>
                <w:rFonts w:hint="eastAsia" w:ascii="Cambria Math" w:hAnsi="Cambria Math" w:cs="Times New Roman"/>
                <w:b w:val="0"/>
                <w:i w:val="0"/>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NCV</m:t>
            </m:r>
            <m:ctrlPr>
              <w:rPr>
                <w:rFonts w:hint="eastAsia" w:ascii="Cambria Math" w:hAnsi="Cambria Math" w:cs="Times New Roman"/>
                <w:b w:val="0"/>
                <w:i w:val="0"/>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i</m:t>
            </m:r>
            <m:ctrlPr>
              <w:rPr>
                <w:rFonts w:hint="eastAsia" w:ascii="Cambria Math" w:hAnsi="Cambria Math" w:cs="Times New Roman"/>
                <w:b w:val="0"/>
                <w:i w:val="0"/>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统计报告期内第 i 种化石燃料的平均低位发热量，对于固体或液体燃料，单位为吉焦/吨（GJ/t）；对于气体燃料，单位为吉焦/万标立方米（GJ/万Nm</w:t>
      </w:r>
      <w:r>
        <w:rPr>
          <w:rFonts w:hint="eastAsia" w:cs="Times New Roman"/>
          <w:color w:val="auto"/>
          <w:highlight w:val="none"/>
          <w:vertAlign w:val="superscript"/>
          <w:lang w:val="en-US" w:eastAsia="zh-CN"/>
        </w:rPr>
        <w:t>3</w:t>
      </w:r>
      <w:r>
        <w:rPr>
          <w:rFonts w:hint="eastAsia" w:cs="Times New Roman"/>
          <w:color w:val="auto"/>
          <w:highlight w:val="none"/>
          <w:vertAlign w:val="baseline"/>
          <w:lang w:val="en-US" w:eastAsia="zh-CN"/>
        </w:rPr>
        <w:t>）；</w:t>
      </w:r>
    </w:p>
    <w:p w14:paraId="31834F82">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FC</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i</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统计报告期内第 i 种化石燃料用作化石燃料燃烧的消耗量，对于固体或液体燃料，单位为吨（t）；对于气体燃料，单位为万标立方米（万Nm</w:t>
      </w:r>
      <w:r>
        <w:rPr>
          <w:rFonts w:hint="eastAsia" w:cs="Times New Roman"/>
          <w:color w:val="auto"/>
          <w:highlight w:val="none"/>
          <w:vertAlign w:val="superscript"/>
          <w:lang w:val="en-US" w:eastAsia="zh-CN"/>
        </w:rPr>
        <w:t>3</w:t>
      </w:r>
      <w:r>
        <w:rPr>
          <w:rFonts w:hint="eastAsia" w:cs="Times New Roman"/>
          <w:color w:val="auto"/>
          <w:highlight w:val="none"/>
          <w:vertAlign w:val="baseline"/>
          <w:lang w:val="en-US" w:eastAsia="zh-CN"/>
        </w:rPr>
        <w:t>）；</w:t>
      </w:r>
    </w:p>
    <w:p w14:paraId="5EEB2ED1">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default"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CC</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i</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统计报告期内第 i 种化石燃料的单位热值含碳量，单位为吨碳/吉焦（tC/GJ）；</w:t>
      </w:r>
    </w:p>
    <w:p w14:paraId="16DAED02">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OF</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i</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统计报告期内第 i 种化石燃料的碳氧化率，单位为%。</w:t>
      </w:r>
    </w:p>
    <w:p w14:paraId="26AA2567">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default"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6.6  </w:t>
      </w:r>
      <w:r>
        <w:rPr>
          <w:rFonts w:hint="eastAsia" w:cs="Times New Roman"/>
          <w:color w:val="auto"/>
          <w:highlight w:val="none"/>
          <w:vertAlign w:val="baseline"/>
          <w:lang w:val="en-US" w:eastAsia="zh-CN"/>
        </w:rPr>
        <w:t>购入的电力、热力产生的排放按式（7）、式（8）计算：</w:t>
      </w:r>
    </w:p>
    <w:p w14:paraId="061496AE">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eastAsia" w:ascii="黑体" w:hAnsi="黑体" w:eastAsia="黑体" w:cs="Times New Roman"/>
          <w:b w:val="0"/>
          <w:bCs w:val="0"/>
          <w:color w:val="auto"/>
          <w:sz w:val="21"/>
          <w:szCs w:val="21"/>
          <w:lang w:val="en-US" w:eastAsia="zh-CN" w:bidi="ar-SA"/>
        </w:rPr>
      </w:pPr>
      <w:r>
        <w:rPr>
          <w:rFonts w:hint="eastAsia" w:hAnsi="Cambria Math" w:eastAsia="黑体" w:cs="Times New Roman"/>
          <w:b w:val="0"/>
          <w:bCs w:val="0"/>
          <w:i w:val="0"/>
          <w:color w:val="auto"/>
          <w:sz w:val="21"/>
          <w:szCs w:val="21"/>
          <w:lang w:val="en-US" w:eastAsia="zh-CN" w:bidi="ar-SA"/>
        </w:rPr>
        <w:tab/>
      </w:r>
      <m:oMath>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购入电</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AD</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购入电</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EF</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电</m:t>
            </m:r>
            <m:ctrlPr>
              <w:rPr>
                <w:rFonts w:hint="eastAsia" w:ascii="Cambria Math" w:hAnsi="Cambria Math" w:eastAsia="黑体" w:cs="Times New Roman"/>
                <w:b w:val="0"/>
                <w:bCs w:val="0"/>
                <w:color w:val="auto"/>
                <w:sz w:val="21"/>
                <w:szCs w:val="21"/>
                <w:lang w:val="en-US" w:eastAsia="zh-CN" w:bidi="ar-SA"/>
              </w:rPr>
            </m:ctrlPr>
          </m:sub>
        </m:sSub>
      </m:oMath>
      <w:r>
        <w:rPr>
          <w:rFonts w:hint="eastAsia" w:hAnsi="Cambria Math" w:eastAsia="黑体" w:cs="Times New Roman"/>
          <w:b w:val="0"/>
          <w:bCs w:val="0"/>
          <w:i w:val="0"/>
          <w:color w:val="auto"/>
          <w:sz w:val="21"/>
          <w:szCs w:val="21"/>
          <w:lang w:val="en-US" w:eastAsia="zh-CN" w:bidi="ar-SA"/>
        </w:rPr>
        <w:tab/>
      </w:r>
      <w:r>
        <w:rPr>
          <w:rFonts w:hint="eastAsia" w:hAnsi="Cambria Math" w:eastAsia="黑体" w:cs="Times New Roman"/>
          <w:b w:val="0"/>
          <w:bCs w:val="0"/>
          <w:i w:val="0"/>
          <w:color w:val="auto"/>
          <w:sz w:val="21"/>
          <w:szCs w:val="21"/>
          <w:lang w:val="en-US" w:eastAsia="zh-CN" w:bidi="ar-SA"/>
        </w:rPr>
        <w:t>（7）</w:t>
      </w:r>
    </w:p>
    <w:p w14:paraId="64A02C07">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eastAsia" w:ascii="黑体" w:hAnsi="黑体" w:eastAsia="黑体" w:cs="Times New Roman"/>
          <w:b w:val="0"/>
          <w:bCs w:val="0"/>
          <w:color w:val="auto"/>
          <w:sz w:val="21"/>
          <w:szCs w:val="21"/>
          <w:lang w:val="en-US" w:eastAsia="zh-CN" w:bidi="ar-SA"/>
        </w:rPr>
      </w:pPr>
      <w:r>
        <w:rPr>
          <w:rFonts w:hint="eastAsia" w:hAnsi="Cambria Math" w:eastAsia="黑体" w:cs="Times New Roman"/>
          <w:b w:val="0"/>
          <w:bCs w:val="0"/>
          <w:i w:val="0"/>
          <w:color w:val="auto"/>
          <w:sz w:val="21"/>
          <w:szCs w:val="21"/>
          <w:lang w:val="en-US" w:eastAsia="zh-CN" w:bidi="ar-SA"/>
        </w:rPr>
        <w:tab/>
      </w:r>
      <m:oMath>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购入热</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AD</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购入热</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EF</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热</m:t>
            </m:r>
            <m:ctrlPr>
              <w:rPr>
                <w:rFonts w:hint="eastAsia" w:ascii="Cambria Math" w:hAnsi="Cambria Math" w:eastAsia="黑体" w:cs="Times New Roman"/>
                <w:b w:val="0"/>
                <w:bCs w:val="0"/>
                <w:color w:val="auto"/>
                <w:sz w:val="21"/>
                <w:szCs w:val="21"/>
                <w:lang w:val="en-US" w:eastAsia="zh-CN" w:bidi="ar-SA"/>
              </w:rPr>
            </m:ctrlPr>
          </m:sub>
        </m:sSub>
      </m:oMath>
      <w:r>
        <w:rPr>
          <w:rFonts w:hint="eastAsia" w:hAnsi="Cambria Math" w:eastAsia="黑体" w:cs="Times New Roman"/>
          <w:b w:val="0"/>
          <w:bCs w:val="0"/>
          <w:i w:val="0"/>
          <w:color w:val="auto"/>
          <w:sz w:val="21"/>
          <w:szCs w:val="21"/>
          <w:lang w:val="en-US" w:eastAsia="zh-CN" w:bidi="ar-SA"/>
        </w:rPr>
        <w:tab/>
      </w:r>
      <w:r>
        <w:rPr>
          <w:rFonts w:hint="eastAsia" w:hAnsi="Cambria Math" w:eastAsia="黑体" w:cs="Times New Roman"/>
          <w:b w:val="0"/>
          <w:bCs w:val="0"/>
          <w:i w:val="0"/>
          <w:color w:val="auto"/>
          <w:sz w:val="21"/>
          <w:szCs w:val="21"/>
          <w:lang w:val="en-US" w:eastAsia="zh-CN" w:bidi="ar-SA"/>
        </w:rPr>
        <w:t>（8）</w:t>
      </w:r>
    </w:p>
    <w:p w14:paraId="10BDFEDE">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0FB3A78E">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购入电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丙烯酸生产企业购入电力所产生的二氧化碳排放总量，单位为吨二氧化碳（tCO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4423433D">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AD</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购入电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统计报告期内购入电力量，单位为兆瓦时（MWh）；</w:t>
      </w:r>
    </w:p>
    <w:p w14:paraId="5689D131">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黑体" w:hAnsi="黑体" w:eastAsia="黑体" w:cs="Times New Roman"/>
          <w:b w:val="0"/>
          <w:bCs w:val="0"/>
          <w:color w:val="auto"/>
          <w:sz w:val="21"/>
          <w:szCs w:val="21"/>
          <w:lang w:val="en-US" w:eastAsia="zh-CN" w:bidi="ar-SA"/>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EF</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电力二氧化碳排放因子，单位为吨二氧化碳/兆瓦时（tCO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/MWh）；</w:t>
      </w:r>
    </w:p>
    <w:p w14:paraId="152EAA35">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购入热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丙烯酸生产企业购入热力所产生的二氧化碳排放总量，单位为吨二氧化碳（tCO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482C3033">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AD</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购入热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统计报告期内购入热力量，单位为吉焦（GJ）；</w:t>
      </w:r>
    </w:p>
    <w:p w14:paraId="66D2ED48">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黑体" w:hAnsi="黑体" w:eastAsia="黑体" w:cs="Times New Roman"/>
          <w:b w:val="0"/>
          <w:bCs w:val="0"/>
          <w:color w:val="auto"/>
          <w:sz w:val="21"/>
          <w:szCs w:val="21"/>
          <w:lang w:val="en-US" w:eastAsia="zh-CN" w:bidi="ar-SA"/>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EF</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热力二氧化碳排放因子，单位为吨二氧化碳/吉焦（tCO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/GJ）。</w:t>
      </w:r>
    </w:p>
    <w:p w14:paraId="37ED9FEE">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6.7  </w:t>
      </w:r>
      <w:r>
        <w:rPr>
          <w:rFonts w:hint="eastAsia" w:cs="Times New Roman"/>
          <w:color w:val="auto"/>
          <w:highlight w:val="none"/>
          <w:vertAlign w:val="baseline"/>
          <w:lang w:val="en-US" w:eastAsia="zh-CN"/>
        </w:rPr>
        <w:t>输出的电力、热力产生的排放按式（9）、式（10）计算：</w:t>
      </w:r>
    </w:p>
    <w:p w14:paraId="3444BAE1">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eastAsia" w:ascii="黑体" w:hAnsi="黑体" w:eastAsia="黑体" w:cs="Times New Roman"/>
          <w:b w:val="0"/>
          <w:bCs w:val="0"/>
          <w:color w:val="auto"/>
          <w:sz w:val="21"/>
          <w:szCs w:val="21"/>
          <w:lang w:val="en-US" w:eastAsia="zh-CN" w:bidi="ar-SA"/>
        </w:rPr>
      </w:pPr>
      <w:r>
        <w:rPr>
          <w:rFonts w:hint="eastAsia" w:hAnsi="Cambria Math" w:eastAsia="黑体" w:cs="Times New Roman"/>
          <w:b w:val="0"/>
          <w:bCs w:val="0"/>
          <w:i w:val="0"/>
          <w:color w:val="auto"/>
          <w:sz w:val="21"/>
          <w:szCs w:val="21"/>
          <w:lang w:val="en-US" w:eastAsia="zh-CN" w:bidi="ar-SA"/>
        </w:rPr>
        <w:tab/>
      </w:r>
      <m:oMath>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输出电</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AD</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输出电</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EF</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电</m:t>
            </m:r>
            <m:ctrlPr>
              <w:rPr>
                <w:rFonts w:hint="eastAsia" w:ascii="Cambria Math" w:hAnsi="Cambria Math" w:eastAsia="黑体" w:cs="Times New Roman"/>
                <w:b w:val="0"/>
                <w:bCs w:val="0"/>
                <w:color w:val="auto"/>
                <w:sz w:val="21"/>
                <w:szCs w:val="21"/>
                <w:lang w:val="en-US" w:eastAsia="zh-CN" w:bidi="ar-SA"/>
              </w:rPr>
            </m:ctrlPr>
          </m:sub>
        </m:sSub>
      </m:oMath>
      <w:r>
        <w:rPr>
          <w:rFonts w:hint="eastAsia" w:hAnsi="Cambria Math" w:eastAsia="黑体" w:cs="Times New Roman"/>
          <w:b w:val="0"/>
          <w:bCs w:val="0"/>
          <w:i w:val="0"/>
          <w:color w:val="auto"/>
          <w:sz w:val="21"/>
          <w:szCs w:val="21"/>
          <w:lang w:val="en-US" w:eastAsia="zh-CN" w:bidi="ar-SA"/>
        </w:rPr>
        <w:tab/>
      </w:r>
      <w:r>
        <w:rPr>
          <w:rFonts w:hint="eastAsia" w:hAnsi="Cambria Math" w:eastAsia="黑体" w:cs="Times New Roman"/>
          <w:b w:val="0"/>
          <w:bCs w:val="0"/>
          <w:i w:val="0"/>
          <w:color w:val="auto"/>
          <w:sz w:val="21"/>
          <w:szCs w:val="21"/>
          <w:lang w:val="en-US" w:eastAsia="zh-CN" w:bidi="ar-SA"/>
        </w:rPr>
        <w:t>（9）</w:t>
      </w:r>
    </w:p>
    <w:p w14:paraId="4F4A8845">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eastAsia" w:ascii="黑体" w:hAnsi="黑体" w:eastAsia="黑体" w:cs="Times New Roman"/>
          <w:b w:val="0"/>
          <w:bCs w:val="0"/>
          <w:color w:val="auto"/>
          <w:sz w:val="21"/>
          <w:szCs w:val="21"/>
          <w:lang w:val="en-US" w:eastAsia="zh-CN" w:bidi="ar-SA"/>
        </w:rPr>
      </w:pPr>
      <w:r>
        <w:rPr>
          <w:rFonts w:hint="eastAsia" w:hAnsi="Cambria Math" w:eastAsia="黑体" w:cs="Times New Roman"/>
          <w:b w:val="0"/>
          <w:bCs w:val="0"/>
          <w:i w:val="0"/>
          <w:color w:val="auto"/>
          <w:sz w:val="21"/>
          <w:szCs w:val="21"/>
          <w:lang w:val="en-US" w:eastAsia="zh-CN" w:bidi="ar-SA"/>
        </w:rPr>
        <w:tab/>
      </w:r>
      <m:oMath>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输出热</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AD</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输出热</m:t>
            </m:r>
            <m:ctrlPr>
              <w:rPr>
                <w:rFonts w:hint="eastAsia" w:ascii="Cambria Math" w:hAnsi="Cambria Math" w:eastAsia="黑体" w:cs="Times New Roman"/>
                <w:b w:val="0"/>
                <w:bCs w:val="0"/>
                <w:color w:val="auto"/>
                <w:sz w:val="21"/>
                <w:szCs w:val="21"/>
                <w:lang w:val="en-US" w:eastAsia="zh-CN" w:bidi="ar-SA"/>
              </w:rPr>
            </m:ctrlPr>
          </m:sub>
        </m:sSub>
        <m:r>
          <m:rPr>
            <m:sty m:val="p"/>
          </m:rPr>
          <w:rPr>
            <w:rFonts w:hint="eastAsia" w:ascii="Cambria Math" w:hAnsi="Cambria Math" w:eastAsia="黑体" w:cs="Times New Roman"/>
            <w:color w:val="auto"/>
            <w:sz w:val="21"/>
            <w:szCs w:val="21"/>
            <w:lang w:val="en-US" w:eastAsia="zh-CN" w:bidi="ar-SA"/>
          </w:rPr>
          <m:t>×</m:t>
        </m:r>
        <m:sSub>
          <m:sSubPr>
            <m:ctrlPr>
              <w:rPr>
                <w:rFonts w:hint="eastAsia" w:ascii="Cambria Math" w:hAnsi="Cambria Math" w:eastAsia="黑体" w:cs="Times New Roman"/>
                <w:b w:val="0"/>
                <w:bCs w:val="0"/>
                <w:color w:val="auto"/>
                <w:sz w:val="21"/>
                <w:szCs w:val="21"/>
                <w:lang w:val="en-US" w:eastAsia="zh-CN" w:bidi="ar-SA"/>
              </w:rPr>
            </m:ctrlPr>
          </m:sSubPr>
          <m:e>
            <m:r>
              <m:rPr>
                <m:sty m:val="p"/>
              </m:rPr>
              <w:rPr>
                <w:rFonts w:hint="eastAsia" w:ascii="Cambria Math" w:hAnsi="Cambria Math" w:eastAsia="黑体" w:cs="Times New Roman"/>
                <w:color w:val="auto"/>
                <w:sz w:val="21"/>
                <w:szCs w:val="21"/>
                <w:lang w:val="en-US" w:eastAsia="zh-CN" w:bidi="ar-SA"/>
              </w:rPr>
              <m:t>EF</m:t>
            </m:r>
            <m:ctrlPr>
              <w:rPr>
                <w:rFonts w:hint="eastAsia" w:ascii="Cambria Math" w:hAnsi="Cambria Math" w:eastAsia="黑体" w:cs="Times New Roman"/>
                <w:b w:val="0"/>
                <w:bCs w:val="0"/>
                <w:color w:val="auto"/>
                <w:sz w:val="21"/>
                <w:szCs w:val="21"/>
                <w:lang w:val="en-US" w:eastAsia="zh-CN" w:bidi="ar-SA"/>
              </w:rPr>
            </m:ctrlPr>
          </m:e>
          <m:sub>
            <m:r>
              <m:rPr>
                <m:sty m:val="p"/>
              </m:rPr>
              <w:rPr>
                <w:rFonts w:hint="eastAsia" w:ascii="Cambria Math" w:hAnsi="Cambria Math" w:eastAsia="黑体" w:cs="Times New Roman"/>
                <w:color w:val="auto"/>
                <w:sz w:val="21"/>
                <w:szCs w:val="21"/>
                <w:lang w:val="en-US" w:eastAsia="zh-CN" w:bidi="ar-SA"/>
              </w:rPr>
              <m:t>热</m:t>
            </m:r>
            <m:ctrlPr>
              <w:rPr>
                <w:rFonts w:hint="eastAsia" w:ascii="Cambria Math" w:hAnsi="Cambria Math" w:eastAsia="黑体" w:cs="Times New Roman"/>
                <w:b w:val="0"/>
                <w:bCs w:val="0"/>
                <w:color w:val="auto"/>
                <w:sz w:val="21"/>
                <w:szCs w:val="21"/>
                <w:lang w:val="en-US" w:eastAsia="zh-CN" w:bidi="ar-SA"/>
              </w:rPr>
            </m:ctrlPr>
          </m:sub>
        </m:sSub>
      </m:oMath>
      <w:r>
        <w:rPr>
          <w:rFonts w:hint="eastAsia" w:hAnsi="Cambria Math" w:eastAsia="黑体" w:cs="Times New Roman"/>
          <w:b w:val="0"/>
          <w:bCs w:val="0"/>
          <w:i w:val="0"/>
          <w:color w:val="auto"/>
          <w:sz w:val="21"/>
          <w:szCs w:val="21"/>
          <w:lang w:val="en-US" w:eastAsia="zh-CN" w:bidi="ar-SA"/>
        </w:rPr>
        <w:tab/>
      </w:r>
      <w:r>
        <w:rPr>
          <w:rFonts w:hint="eastAsia" w:hAnsi="Cambria Math" w:eastAsia="黑体" w:cs="Times New Roman"/>
          <w:b w:val="0"/>
          <w:bCs w:val="0"/>
          <w:i w:val="0"/>
          <w:color w:val="auto"/>
          <w:sz w:val="21"/>
          <w:szCs w:val="21"/>
          <w:lang w:val="en-US" w:eastAsia="zh-CN" w:bidi="ar-SA"/>
        </w:rPr>
        <w:t>（10）</w:t>
      </w:r>
    </w:p>
    <w:p w14:paraId="1197C707">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5415A1A8">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输出电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丙烯酸生产企业输出电力所产生的二氧化碳排放总量，单位为吨二氧化碳（tCO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1AA635CD">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AD</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输出电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统计报告期内输出电力量，单位为兆瓦时（MWh）；</w:t>
      </w:r>
    </w:p>
    <w:p w14:paraId="5C320286">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黑体" w:hAnsi="黑体" w:eastAsia="黑体" w:cs="Times New Roman"/>
          <w:b w:val="0"/>
          <w:bCs w:val="0"/>
          <w:color w:val="auto"/>
          <w:sz w:val="21"/>
          <w:szCs w:val="21"/>
          <w:lang w:val="en-US" w:eastAsia="zh-CN" w:bidi="ar-SA"/>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EF</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电</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电力二氧化碳排放因子，单位为吨二氧化碳/兆瓦时（tCO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/MWh）；</w:t>
      </w:r>
    </w:p>
    <w:p w14:paraId="1B081C17">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输出热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丙烯酸生产企业输出热力所产生的二氧化碳排放总量，单位为吨二氧化碳（tCO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6E831990">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AD</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输出热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统计报告期内输出热力量，单位为吉焦（GJ）；</w:t>
      </w:r>
    </w:p>
    <w:p w14:paraId="79ACF53F">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ascii="黑体" w:hAnsi="黑体" w:eastAsia="黑体" w:cs="Times New Roman"/>
          <w:b w:val="0"/>
          <w:bCs w:val="0"/>
          <w:color w:val="auto"/>
          <w:sz w:val="21"/>
          <w:szCs w:val="21"/>
          <w:lang w:val="en-US" w:eastAsia="zh-CN" w:bidi="ar-SA"/>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Cambria Math" w:hAnsi="Cambria Math" w:cs="Times New Roman"/>
                <w:color w:val="auto"/>
                <w:highlight w:val="none"/>
                <w:vertAlign w:val="baseline"/>
                <w:lang w:val="en-US" w:eastAsia="zh-CN"/>
              </w:rPr>
              <m:t>EF</m:t>
            </m:r>
            <m:ctrlPr>
              <w:rPr>
                <w:rFonts w:hint="eastAsia" w:ascii="Cambria Math" w:hAnsi="Cambria Math" w:cs="Times New Roman"/>
                <w:color w:val="auto"/>
                <w:highlight w:val="none"/>
                <w:vertAlign w:val="baseline"/>
                <w:lang w:val="en-US" w:eastAsia="zh-CN"/>
              </w:rPr>
            </m:ctrlPr>
          </m:e>
          <m:sub>
            <m:r>
              <m:rPr>
                <m:sty m:val="p"/>
              </m:rPr>
              <w:rPr>
                <w:rFonts w:hint="eastAsia" w:ascii="Cambria Math" w:hAnsi="Cambria Math" w:cs="Times New Roman"/>
                <w:color w:val="auto"/>
                <w:highlight w:val="none"/>
                <w:vertAlign w:val="baseline"/>
                <w:lang w:val="en-US" w:eastAsia="zh-CN"/>
              </w:rPr>
              <m:t>热</m:t>
            </m:r>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热力二氧化碳排放因子，单位为吨二氧化碳/兆瓦时（tCO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/GJ）。</w:t>
      </w:r>
    </w:p>
    <w:p w14:paraId="72E7BE09">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eastAsia" w:ascii="黑体" w:hAnsi="黑体" w:eastAsia="黑体" w:cs="Times New Roman"/>
          <w:b w:val="0"/>
          <w:bCs w:val="0"/>
          <w:color w:val="auto"/>
          <w:sz w:val="21"/>
          <w:szCs w:val="21"/>
          <w:lang w:val="en-US" w:eastAsia="zh-CN" w:bidi="ar-SA"/>
        </w:rPr>
      </w:pPr>
      <w:r>
        <w:rPr>
          <w:rFonts w:hint="eastAsia" w:ascii="黑体" w:hAnsi="黑体" w:eastAsia="黑体" w:cs="Times New Roman"/>
          <w:b w:val="0"/>
          <w:bCs w:val="0"/>
          <w:color w:val="auto"/>
          <w:sz w:val="21"/>
          <w:szCs w:val="21"/>
          <w:lang w:val="en-US" w:eastAsia="zh-CN" w:bidi="ar-SA"/>
        </w:rPr>
        <w:t xml:space="preserve">6.8  </w:t>
      </w:r>
      <w:r>
        <w:rPr>
          <w:rFonts w:hint="eastAsia" w:cs="Times New Roman"/>
          <w:color w:val="auto"/>
          <w:highlight w:val="none"/>
          <w:vertAlign w:val="baseline"/>
          <w:lang w:val="en-US" w:eastAsia="zh-CN"/>
        </w:rPr>
        <w:t>丙烯酸单位产品二氧化碳排放量按式（11）计算：</w:t>
      </w:r>
    </w:p>
    <w:p w14:paraId="7BC9F8E7">
      <w:pPr>
        <w:pStyle w:val="27"/>
        <w:keepNext w:val="0"/>
        <w:keepLines w:val="0"/>
        <w:pageBreakBefore w:val="0"/>
        <w:widowControl w:val="0"/>
        <w:kinsoku/>
        <w:wordWrap/>
        <w:overflowPunct/>
        <w:topLinePunct w:val="0"/>
        <w:autoSpaceDE w:val="0"/>
        <w:autoSpaceDN w:val="0"/>
        <w:bidi w:val="0"/>
        <w:adjustRightInd/>
        <w:snapToGrid w:val="0"/>
        <w:ind w:left="0" w:leftChars="0" w:firstLine="0" w:firstLineChars="0"/>
        <w:textAlignment w:val="auto"/>
        <w:rPr>
          <w:rFonts w:hint="default" w:ascii="黑体" w:hAnsi="黑体" w:eastAsia="黑体" w:cs="Times New Roman"/>
          <w:b w:val="0"/>
          <w:bCs w:val="0"/>
          <w:color w:val="auto"/>
          <w:sz w:val="21"/>
          <w:szCs w:val="21"/>
          <w:lang w:val="en-US" w:eastAsia="zh-CN" w:bidi="ar-SA"/>
        </w:rPr>
      </w:pPr>
      <w:r>
        <w:rPr>
          <w:rFonts w:hint="eastAsia" w:hAnsi="Cambria Math" w:eastAsia="黑体" w:cs="Times New Roman"/>
          <w:b w:val="0"/>
          <w:bCs w:val="0"/>
          <w:i w:val="0"/>
          <w:color w:val="auto"/>
          <w:sz w:val="21"/>
          <w:szCs w:val="21"/>
          <w:lang w:val="en-US" w:eastAsia="zh-CN" w:bidi="ar-SA"/>
        </w:rPr>
        <w:tab/>
      </w:r>
      <m:oMath>
        <m:sSub>
          <m:sSubPr>
            <m:ctrlPr>
              <w:rPr>
                <w:rFonts w:hint="default" w:ascii="Cambria Math" w:hAnsi="Cambria Math" w:eastAsia="黑体" w:cs="Times New Roman"/>
                <w:b w:val="0"/>
                <w:bCs w:val="0"/>
                <w:i w:val="0"/>
                <w:color w:val="auto"/>
                <w:sz w:val="21"/>
                <w:szCs w:val="21"/>
                <w:lang w:val="en-US" w:eastAsia="zh-CN" w:bidi="ar-SA"/>
              </w:rPr>
            </m:ctrlPr>
          </m:sSubPr>
          <m:e>
            <m:r>
              <m:rPr>
                <m:sty m:val="p"/>
              </m:rPr>
              <w:rPr>
                <w:rFonts w:hint="default" w:ascii="Cambria Math" w:hAnsi="Cambria Math" w:eastAsia="黑体" w:cs="Times New Roman"/>
                <w:color w:val="auto"/>
                <w:sz w:val="21"/>
                <w:szCs w:val="21"/>
                <w:lang w:val="en-US" w:eastAsia="zh-CN" w:bidi="ar-SA"/>
              </w:rPr>
              <m:t>e</m:t>
            </m:r>
            <m:ctrlPr>
              <w:rPr>
                <w:rFonts w:hint="default" w:ascii="Cambria Math" w:hAnsi="Cambria Math" w:eastAsia="黑体" w:cs="Times New Roman"/>
                <w:b w:val="0"/>
                <w:bCs w:val="0"/>
                <w:i w:val="0"/>
                <w:color w:val="auto"/>
                <w:sz w:val="21"/>
                <w:szCs w:val="21"/>
                <w:lang w:val="en-US" w:eastAsia="zh-CN" w:bidi="ar-SA"/>
              </w:rPr>
            </m:ctrlPr>
          </m:e>
          <m:sub>
            <m:sSub>
              <m:sSubPr>
                <m:ctrlPr>
                  <w:rPr>
                    <w:rFonts w:hint="default" w:ascii="Cambria Math" w:hAnsi="Cambria Math" w:eastAsia="黑体" w:cs="Times New Roman"/>
                    <w:b w:val="0"/>
                    <w:bCs w:val="0"/>
                    <w:i w:val="0"/>
                    <w:color w:val="auto"/>
                    <w:sz w:val="21"/>
                    <w:szCs w:val="21"/>
                    <w:lang w:val="en-US" w:eastAsia="zh-CN" w:bidi="ar-SA"/>
                  </w:rPr>
                </m:ctrlPr>
              </m:sSubPr>
              <m:e>
                <m:r>
                  <m:rPr>
                    <m:sty m:val="p"/>
                  </m:rPr>
                  <w:rPr>
                    <w:rFonts w:hint="default" w:ascii="Cambria Math" w:hAnsi="Cambria Math" w:eastAsia="黑体" w:cs="Times New Roman"/>
                    <w:color w:val="auto"/>
                    <w:sz w:val="21"/>
                    <w:szCs w:val="21"/>
                    <w:lang w:val="en-US" w:eastAsia="zh-CN" w:bidi="ar-SA"/>
                  </w:rPr>
                  <m:t>CO</m:t>
                </m:r>
                <m:ctrlPr>
                  <w:rPr>
                    <w:rFonts w:hint="default" w:ascii="Cambria Math" w:hAnsi="Cambria Math" w:eastAsia="黑体" w:cs="Times New Roman"/>
                    <w:b w:val="0"/>
                    <w:bCs w:val="0"/>
                    <w:i w:val="0"/>
                    <w:color w:val="auto"/>
                    <w:sz w:val="21"/>
                    <w:szCs w:val="21"/>
                    <w:lang w:val="en-US" w:eastAsia="zh-CN" w:bidi="ar-SA"/>
                  </w:rPr>
                </m:ctrlPr>
              </m:e>
              <m:sub>
                <m:r>
                  <m:rPr>
                    <m:sty m:val="p"/>
                  </m:rPr>
                  <w:rPr>
                    <w:rFonts w:hint="default" w:ascii="Cambria Math" w:hAnsi="Cambria Math" w:eastAsia="黑体" w:cs="Times New Roman"/>
                    <w:color w:val="auto"/>
                    <w:sz w:val="21"/>
                    <w:szCs w:val="21"/>
                    <w:lang w:val="en-US" w:eastAsia="zh-CN" w:bidi="ar-SA"/>
                  </w:rPr>
                  <m:t>2</m:t>
                </m:r>
                <m:ctrlPr>
                  <w:rPr>
                    <w:rFonts w:hint="default" w:ascii="Cambria Math" w:hAnsi="Cambria Math" w:eastAsia="黑体" w:cs="Times New Roman"/>
                    <w:b w:val="0"/>
                    <w:bCs w:val="0"/>
                    <w:i w:val="0"/>
                    <w:color w:val="auto"/>
                    <w:sz w:val="21"/>
                    <w:szCs w:val="21"/>
                    <w:lang w:val="en-US" w:eastAsia="zh-CN" w:bidi="ar-SA"/>
                  </w:rPr>
                </m:ctrlPr>
              </m:sub>
            </m:sSub>
            <m:ctrlPr>
              <w:rPr>
                <w:rFonts w:hint="default" w:ascii="Cambria Math" w:hAnsi="Cambria Math" w:eastAsia="黑体" w:cs="Times New Roman"/>
                <w:b w:val="0"/>
                <w:bCs w:val="0"/>
                <w:i w:val="0"/>
                <w:color w:val="auto"/>
                <w:sz w:val="21"/>
                <w:szCs w:val="21"/>
                <w:lang w:val="en-US" w:eastAsia="zh-CN" w:bidi="ar-SA"/>
              </w:rPr>
            </m:ctrlPr>
          </m:sub>
        </m:sSub>
        <m:r>
          <m:rPr>
            <m:sty m:val="p"/>
          </m:rPr>
          <w:rPr>
            <w:rFonts w:hint="default" w:ascii="Cambria Math" w:hAnsi="Cambria Math" w:eastAsia="黑体" w:cs="Times New Roman"/>
            <w:color w:val="auto"/>
            <w:sz w:val="21"/>
            <w:szCs w:val="21"/>
            <w:lang w:val="en-US" w:eastAsia="zh-CN" w:bidi="ar-SA"/>
          </w:rPr>
          <m:t>=</m:t>
        </m:r>
        <m:f>
          <m:fPr>
            <m:ctrlPr>
              <w:rPr>
                <w:rFonts w:hint="default" w:ascii="Cambria Math" w:hAnsi="Cambria Math" w:eastAsia="黑体" w:cs="Times New Roman"/>
                <w:b w:val="0"/>
                <w:bCs w:val="0"/>
                <w:color w:val="auto"/>
                <w:sz w:val="21"/>
                <w:szCs w:val="21"/>
                <w:lang w:val="en-US" w:eastAsia="zh-CN" w:bidi="ar-SA"/>
              </w:rPr>
            </m:ctrlPr>
          </m:fPr>
          <m:num>
            <m:sSub>
              <m:sSubPr>
                <m:ctrlPr>
                  <w:rPr>
                    <w:rFonts w:hint="default" w:ascii="Cambria Math" w:hAnsi="Cambria Math" w:eastAsia="黑体" w:cs="Times New Roman"/>
                    <w:b w:val="0"/>
                    <w:bCs w:val="0"/>
                    <w:color w:val="auto"/>
                    <w:sz w:val="21"/>
                    <w:szCs w:val="21"/>
                    <w:lang w:val="en-US" w:eastAsia="zh-CN" w:bidi="ar-SA"/>
                  </w:rPr>
                </m:ctrlPr>
              </m:sSubPr>
              <m:e>
                <m:r>
                  <m:rPr>
                    <m:sty m:val="p"/>
                  </m:rPr>
                  <w:rPr>
                    <w:rFonts w:hint="default" w:ascii="Cambria Math" w:hAnsi="Cambria Math" w:eastAsia="黑体" w:cs="Times New Roman"/>
                    <w:color w:val="auto"/>
                    <w:sz w:val="21"/>
                    <w:szCs w:val="21"/>
                    <w:lang w:val="en-US" w:eastAsia="zh-CN" w:bidi="ar-SA"/>
                  </w:rPr>
                  <m:t>E</m:t>
                </m:r>
                <m:ctrlPr>
                  <w:rPr>
                    <w:rFonts w:hint="default" w:ascii="Cambria Math" w:hAnsi="Cambria Math" w:eastAsia="黑体" w:cs="Times New Roman"/>
                    <w:b w:val="0"/>
                    <w:bCs w:val="0"/>
                    <w:color w:val="auto"/>
                    <w:sz w:val="21"/>
                    <w:szCs w:val="21"/>
                    <w:lang w:val="en-US" w:eastAsia="zh-CN" w:bidi="ar-SA"/>
                  </w:rPr>
                </m:ctrlPr>
              </m:e>
              <m:sub>
                <m:sSub>
                  <m:sSubPr>
                    <m:ctrlPr>
                      <w:rPr>
                        <w:rFonts w:hint="default" w:ascii="Cambria Math" w:hAnsi="Cambria Math" w:eastAsia="黑体" w:cs="Times New Roman"/>
                        <w:b w:val="0"/>
                        <w:bCs w:val="0"/>
                        <w:color w:val="auto"/>
                        <w:sz w:val="21"/>
                        <w:szCs w:val="21"/>
                        <w:lang w:val="en-US" w:eastAsia="zh-CN" w:bidi="ar-SA"/>
                      </w:rPr>
                    </m:ctrlPr>
                  </m:sSubPr>
                  <m:e>
                    <m:r>
                      <m:rPr>
                        <m:sty m:val="p"/>
                      </m:rPr>
                      <w:rPr>
                        <w:rFonts w:hint="default" w:ascii="Cambria Math" w:hAnsi="Cambria Math" w:eastAsia="黑体" w:cs="Times New Roman"/>
                        <w:color w:val="auto"/>
                        <w:sz w:val="21"/>
                        <w:szCs w:val="21"/>
                        <w:lang w:val="en-US" w:eastAsia="zh-CN" w:bidi="ar-SA"/>
                      </w:rPr>
                      <m:t>CO</m:t>
                    </m:r>
                    <m:ctrlPr>
                      <w:rPr>
                        <w:rFonts w:hint="default" w:ascii="Cambria Math" w:hAnsi="Cambria Math" w:eastAsia="黑体" w:cs="Times New Roman"/>
                        <w:b w:val="0"/>
                        <w:bCs w:val="0"/>
                        <w:color w:val="auto"/>
                        <w:sz w:val="21"/>
                        <w:szCs w:val="21"/>
                        <w:lang w:val="en-US" w:eastAsia="zh-CN" w:bidi="ar-SA"/>
                      </w:rPr>
                    </m:ctrlPr>
                  </m:e>
                  <m:sub>
                    <m:r>
                      <m:rPr>
                        <m:sty m:val="p"/>
                      </m:rPr>
                      <w:rPr>
                        <w:rFonts w:hint="default" w:ascii="Cambria Math" w:hAnsi="Cambria Math" w:eastAsia="黑体" w:cs="Times New Roman"/>
                        <w:color w:val="auto"/>
                        <w:sz w:val="21"/>
                        <w:szCs w:val="21"/>
                        <w:lang w:val="en-US" w:eastAsia="zh-CN" w:bidi="ar-SA"/>
                      </w:rPr>
                      <m:t>2</m:t>
                    </m:r>
                    <m:ctrlPr>
                      <w:rPr>
                        <w:rFonts w:hint="default" w:ascii="Cambria Math" w:hAnsi="Cambria Math" w:eastAsia="黑体" w:cs="Times New Roman"/>
                        <w:b w:val="0"/>
                        <w:bCs w:val="0"/>
                        <w:color w:val="auto"/>
                        <w:sz w:val="21"/>
                        <w:szCs w:val="21"/>
                        <w:lang w:val="en-US" w:eastAsia="zh-CN" w:bidi="ar-SA"/>
                      </w:rPr>
                    </m:ctrlPr>
                  </m:sub>
                </m:sSub>
                <m:ctrlPr>
                  <w:rPr>
                    <w:rFonts w:hint="default" w:ascii="Cambria Math" w:hAnsi="Cambria Math" w:eastAsia="黑体" w:cs="Times New Roman"/>
                    <w:b w:val="0"/>
                    <w:bCs w:val="0"/>
                    <w:color w:val="auto"/>
                    <w:sz w:val="21"/>
                    <w:szCs w:val="21"/>
                    <w:lang w:val="en-US" w:eastAsia="zh-CN" w:bidi="ar-SA"/>
                  </w:rPr>
                </m:ctrlPr>
              </m:sub>
            </m:sSub>
            <m:ctrlPr>
              <w:rPr>
                <w:rFonts w:hint="default" w:ascii="Cambria Math" w:hAnsi="Cambria Math" w:eastAsia="黑体" w:cs="Times New Roman"/>
                <w:b w:val="0"/>
                <w:bCs w:val="0"/>
                <w:color w:val="auto"/>
                <w:sz w:val="21"/>
                <w:szCs w:val="21"/>
                <w:lang w:val="en-US" w:eastAsia="zh-CN" w:bidi="ar-SA"/>
              </w:rPr>
            </m:ctrlPr>
          </m:num>
          <m:den>
            <m:r>
              <m:rPr>
                <m:sty m:val="p"/>
              </m:rPr>
              <w:rPr>
                <w:rFonts w:hint="default" w:ascii="Cambria Math" w:hAnsi="Cambria Math" w:eastAsia="黑体" w:cs="Times New Roman"/>
                <w:color w:val="auto"/>
                <w:sz w:val="21"/>
                <w:szCs w:val="21"/>
                <w:lang w:val="en-US" w:eastAsia="zh-CN" w:bidi="ar-SA"/>
              </w:rPr>
              <m:t>P</m:t>
            </m:r>
            <m:ctrlPr>
              <w:rPr>
                <w:rFonts w:hint="default" w:ascii="Cambria Math" w:hAnsi="Cambria Math" w:eastAsia="黑体" w:cs="Times New Roman"/>
                <w:b w:val="0"/>
                <w:bCs w:val="0"/>
                <w:color w:val="auto"/>
                <w:sz w:val="21"/>
                <w:szCs w:val="21"/>
                <w:lang w:val="en-US" w:eastAsia="zh-CN" w:bidi="ar-SA"/>
              </w:rPr>
            </m:ctrlPr>
          </m:den>
        </m:f>
      </m:oMath>
      <w:r>
        <w:rPr>
          <w:rFonts w:hint="eastAsia" w:hAnsi="Cambria Math" w:eastAsia="黑体" w:cs="Times New Roman"/>
          <w:b w:val="0"/>
          <w:bCs w:val="0"/>
          <w:i w:val="0"/>
          <w:color w:val="auto"/>
          <w:sz w:val="21"/>
          <w:szCs w:val="21"/>
          <w:lang w:val="en-US" w:eastAsia="zh-CN" w:bidi="ar-SA"/>
        </w:rPr>
        <w:tab/>
      </w:r>
      <w:r>
        <w:rPr>
          <w:rFonts w:hint="eastAsia" w:hAnsi="Cambria Math" w:eastAsia="黑体" w:cs="Times New Roman"/>
          <w:b w:val="0"/>
          <w:bCs w:val="0"/>
          <w:i w:val="0"/>
          <w:color w:val="auto"/>
          <w:sz w:val="21"/>
          <w:szCs w:val="21"/>
          <w:lang w:val="en-US" w:eastAsia="zh-CN" w:bidi="ar-SA"/>
        </w:rPr>
        <w:t>（11）</w:t>
      </w:r>
    </w:p>
    <w:p w14:paraId="1B4DD991">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式中：</w:t>
      </w:r>
    </w:p>
    <w:p w14:paraId="65ABCE27">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e</m:t>
            </m:r>
            <m:ctrlPr>
              <w:rPr>
                <w:rFonts w:hint="eastAsia" w:ascii="Cambria Math" w:hAnsi="Cambria Math" w:cs="Times New Roman"/>
                <w:color w:val="auto"/>
                <w:highlight w:val="none"/>
                <w:vertAlign w:val="baseline"/>
                <w:lang w:val="en-US" w:eastAsia="zh-CN"/>
              </w:rPr>
            </m:ctrlPr>
          </m:e>
          <m:sub>
            <m:sSub>
              <m:sSubPr>
                <m:ctrlPr>
                  <w:rPr>
                    <w:rFonts w:hint="eastAsia" w:ascii="Cambria Math" w:hAnsi="Cambria Math" w:cs="Times New Roman"/>
                    <w:color w:val="auto"/>
                    <w:highlight w:val="none"/>
                    <w:vertAlign w:val="baseline"/>
                    <w:lang w:val="en-US" w:eastAsia="zh-CN"/>
                  </w:rPr>
                </m:ctrlPr>
              </m:sSubPr>
              <m:e>
                <m:r>
                  <m:rPr>
                    <m:sty m:val="p"/>
                  </m:rPr>
                  <w:rPr>
                    <w:rFonts w:hint="eastAsia" w:ascii="Times New Roman" w:hAnsi="Times New Roman" w:cs="Times New Roman"/>
                    <w:color w:val="auto"/>
                    <w:highlight w:val="none"/>
                    <w:vertAlign w:val="baseline"/>
                    <w:lang w:val="en-US" w:eastAsia="zh-CN"/>
                  </w:rPr>
                  <m:t>CO</m:t>
                </m:r>
                <m:ctrlPr>
                  <w:rPr>
                    <w:rFonts w:hint="eastAsia" w:ascii="Cambria Math" w:hAnsi="Cambria Math" w:cs="Times New Roman"/>
                    <w:color w:val="auto"/>
                    <w:highlight w:val="none"/>
                    <w:vertAlign w:val="baseline"/>
                    <w:lang w:val="en-US" w:eastAsia="zh-CN"/>
                  </w:rPr>
                </m:ctrlPr>
              </m:e>
              <m:sub>
                <m:r>
                  <m:rPr>
                    <m:sty m:val="p"/>
                  </m:rPr>
                  <w:rPr>
                    <w:rFonts w:hint="eastAsia" w:ascii="Times New Roman" w:hAnsi="Times New Roman" w:cs="Times New Roman"/>
                    <w:color w:val="auto"/>
                    <w:highlight w:val="none"/>
                    <w:vertAlign w:val="baseline"/>
                    <w:lang w:val="en-US" w:eastAsia="zh-CN"/>
                  </w:rPr>
                  <m:t>2</m:t>
                </m:r>
                <m:ctrlPr>
                  <w:rPr>
                    <w:rFonts w:hint="eastAsia" w:ascii="Cambria Math" w:hAnsi="Cambria Math" w:cs="Times New Roman"/>
                    <w:color w:val="auto"/>
                    <w:highlight w:val="none"/>
                    <w:vertAlign w:val="baseline"/>
                    <w:lang w:val="en-US" w:eastAsia="zh-CN"/>
                  </w:rPr>
                </m:ctrlPr>
              </m:sub>
            </m:sSub>
            <m:ctrlPr>
              <w:rPr>
                <w:rFonts w:hint="eastAsia"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丙烯酸单位产品二氧化碳排放量，单位为</w:t>
      </w:r>
      <w:r>
        <w:rPr>
          <w:rFonts w:hint="default" w:cs="Times New Roman"/>
          <w:color w:val="auto"/>
          <w:highlight w:val="none"/>
          <w:vertAlign w:val="baseline"/>
          <w:lang w:val="en-US" w:eastAsia="zh-CN"/>
        </w:rPr>
        <w:t>千克</w:t>
      </w:r>
      <w:r>
        <w:rPr>
          <w:rFonts w:hint="eastAsia" w:cs="Times New Roman"/>
          <w:color w:val="auto"/>
          <w:highlight w:val="none"/>
          <w:vertAlign w:val="baseline"/>
          <w:lang w:val="en-US" w:eastAsia="zh-CN"/>
        </w:rPr>
        <w:t>二氧化碳/吨（kgCO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/t）；</w:t>
      </w:r>
    </w:p>
    <w:p w14:paraId="30CCA173">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m:oMath>
        <m:sSub>
          <m:sSubPr>
            <m:ctrlPr>
              <w:rPr>
                <w:rFonts w:hint="default" w:ascii="Cambria Math" w:hAnsi="Cambria Math" w:cs="Times New Roman"/>
                <w:color w:val="auto"/>
                <w:highlight w:val="none"/>
                <w:vertAlign w:val="baseline"/>
                <w:lang w:val="en-US" w:eastAsia="zh-CN"/>
              </w:rPr>
            </m:ctrlPr>
          </m:sSubPr>
          <m:e>
            <m:r>
              <m:rPr>
                <m:sty m:val="p"/>
              </m:rPr>
              <w:rPr>
                <w:rFonts w:hint="default" w:ascii="Times New Roman" w:hAnsi="Times New Roman" w:cs="Times New Roman"/>
                <w:color w:val="auto"/>
                <w:highlight w:val="none"/>
                <w:vertAlign w:val="baseline"/>
                <w:lang w:val="en-US" w:eastAsia="zh-CN"/>
              </w:rPr>
              <m:t>E</m:t>
            </m:r>
            <m:ctrlPr>
              <w:rPr>
                <w:rFonts w:hint="default" w:ascii="Cambria Math" w:hAnsi="Cambria Math" w:cs="Times New Roman"/>
                <w:color w:val="auto"/>
                <w:highlight w:val="none"/>
                <w:vertAlign w:val="baseline"/>
                <w:lang w:val="en-US" w:eastAsia="zh-CN"/>
              </w:rPr>
            </m:ctrlPr>
          </m:e>
          <m:sub>
            <m:sSub>
              <m:sSubPr>
                <m:ctrlPr>
                  <w:rPr>
                    <w:rFonts w:hint="default" w:ascii="Cambria Math" w:hAnsi="Cambria Math" w:cs="Times New Roman"/>
                    <w:color w:val="auto"/>
                    <w:highlight w:val="none"/>
                    <w:vertAlign w:val="baseline"/>
                    <w:lang w:val="en-US" w:eastAsia="zh-CN"/>
                  </w:rPr>
                </m:ctrlPr>
              </m:sSubPr>
              <m:e>
                <m:r>
                  <m:rPr>
                    <m:sty m:val="p"/>
                  </m:rPr>
                  <w:rPr>
                    <w:rFonts w:hint="default" w:ascii="Times New Roman" w:hAnsi="Times New Roman" w:cs="Times New Roman"/>
                    <w:color w:val="auto"/>
                    <w:highlight w:val="none"/>
                    <w:vertAlign w:val="baseline"/>
                    <w:lang w:val="en-US" w:eastAsia="zh-CN"/>
                  </w:rPr>
                  <m:t>CO</m:t>
                </m:r>
                <m:ctrlPr>
                  <w:rPr>
                    <w:rFonts w:hint="default" w:ascii="Cambria Math" w:hAnsi="Cambria Math" w:cs="Times New Roman"/>
                    <w:color w:val="auto"/>
                    <w:highlight w:val="none"/>
                    <w:vertAlign w:val="baseline"/>
                    <w:lang w:val="en-US" w:eastAsia="zh-CN"/>
                  </w:rPr>
                </m:ctrlPr>
              </m:e>
              <m:sub>
                <m:r>
                  <m:rPr>
                    <m:sty m:val="p"/>
                  </m:rPr>
                  <w:rPr>
                    <w:rFonts w:hint="default" w:ascii="Times New Roman" w:hAnsi="Times New Roman" w:cs="Times New Roman"/>
                    <w:color w:val="auto"/>
                    <w:highlight w:val="none"/>
                    <w:vertAlign w:val="baseline"/>
                    <w:lang w:val="en-US" w:eastAsia="zh-CN"/>
                  </w:rPr>
                  <m:t>2</m:t>
                </m:r>
                <m:ctrlPr>
                  <w:rPr>
                    <w:rFonts w:hint="default" w:ascii="Cambria Math" w:hAnsi="Cambria Math" w:cs="Times New Roman"/>
                    <w:color w:val="auto"/>
                    <w:highlight w:val="none"/>
                    <w:vertAlign w:val="baseline"/>
                    <w:lang w:val="en-US" w:eastAsia="zh-CN"/>
                  </w:rPr>
                </m:ctrlPr>
              </m:sub>
            </m:sSub>
            <m:ctrlPr>
              <w:rPr>
                <w:rFonts w:hint="default" w:ascii="Cambria Math" w:hAnsi="Cambria Math" w:cs="Times New Roman"/>
                <w:color w:val="auto"/>
                <w:highlight w:val="none"/>
                <w:vertAlign w:val="baseline"/>
                <w:lang w:val="en-US" w:eastAsia="zh-CN"/>
              </w:rPr>
            </m:ctrlPr>
          </m:sub>
        </m:sSub>
      </m:oMath>
      <w:r>
        <w:rPr>
          <w:rFonts w:hint="eastAsia" w:cs="Times New Roman"/>
          <w:color w:val="auto"/>
          <w:highlight w:val="none"/>
          <w:vertAlign w:val="baseline"/>
          <w:lang w:val="en-US" w:eastAsia="zh-CN"/>
        </w:rPr>
        <w:t xml:space="preserve"> — 丙烯酸生产企业二氧化碳排放总量，单位为吨二氧化碳（tCO</w:t>
      </w:r>
      <w:r>
        <w:rPr>
          <w:rFonts w:hint="eastAsia" w:cs="Times New Roman"/>
          <w:color w:val="auto"/>
          <w:highlight w:val="none"/>
          <w:vertAlign w:val="subscript"/>
          <w:lang w:val="en-US" w:eastAsia="zh-CN"/>
        </w:rPr>
        <w:t>2</w:t>
      </w:r>
      <w:r>
        <w:rPr>
          <w:rFonts w:hint="eastAsia" w:cs="Times New Roman"/>
          <w:color w:val="auto"/>
          <w:highlight w:val="none"/>
          <w:vertAlign w:val="baseline"/>
          <w:lang w:val="en-US" w:eastAsia="zh-CN"/>
        </w:rPr>
        <w:t>）；</w:t>
      </w:r>
    </w:p>
    <w:p w14:paraId="0926B56A">
      <w:pPr>
        <w:pStyle w:val="27"/>
        <w:keepNext w:val="0"/>
        <w:keepLines w:val="0"/>
        <w:pageBreakBefore w:val="0"/>
        <w:widowControl w:val="0"/>
        <w:kinsoku/>
        <w:wordWrap/>
        <w:overflowPunct/>
        <w:topLinePunct w:val="0"/>
        <w:autoSpaceDE w:val="0"/>
        <w:autoSpaceDN w:val="0"/>
        <w:bidi w:val="0"/>
        <w:adjustRightInd/>
        <w:snapToGrid w:val="0"/>
        <w:ind w:left="0" w:leftChars="0" w:firstLine="420" w:firstLineChars="200"/>
        <w:textAlignment w:val="auto"/>
        <w:rPr>
          <w:rFonts w:hint="eastAsia" w:cs="Times New Roman"/>
          <w:color w:val="auto"/>
          <w:highlight w:val="none"/>
          <w:vertAlign w:val="baseline"/>
          <w:lang w:val="en-US" w:eastAsia="zh-CN"/>
        </w:rPr>
      </w:pPr>
      <w:r>
        <w:rPr>
          <w:rFonts w:hint="eastAsia" w:cs="Times New Roman"/>
          <w:color w:val="auto"/>
          <w:highlight w:val="none"/>
          <w:vertAlign w:val="baseline"/>
          <w:lang w:val="en-US" w:eastAsia="zh-CN"/>
        </w:rPr>
        <w:t>P — 统计报告期内丙烯酸合格产品（应符合GB/T 17529.1 标准要求）的实物产量，单位为吨（t）。</w:t>
      </w:r>
    </w:p>
    <w:p w14:paraId="018C0931">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eastAsia"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6.9  </w:t>
      </w:r>
      <w:r>
        <w:rPr>
          <w:rFonts w:hint="eastAsia" w:cs="Times New Roman"/>
          <w:color w:val="auto"/>
          <w:highlight w:val="none"/>
          <w:vertAlign w:val="baseline"/>
          <w:lang w:val="en-US" w:eastAsia="zh-CN"/>
        </w:rPr>
        <w:t>统计和计算过程中各种燃料的单位热值含碳量、碳氧化率，相关物料的排放因子应优先采用企业</w:t>
      </w:r>
    </w:p>
    <w:p w14:paraId="12057B60">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eastAsia" w:cs="Times New Roman"/>
          <w:color w:val="auto"/>
          <w:highlight w:val="none"/>
          <w:vertAlign w:val="baseline"/>
          <w:lang w:val="en-US" w:eastAsia="zh-CN"/>
        </w:rPr>
      </w:pPr>
    </w:p>
    <w:p w14:paraId="29DAE934">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eastAsia" w:ascii="宋体" w:eastAsia="宋体" w:cs="Times New Roman"/>
          <w:color w:val="auto"/>
          <w:highlight w:val="none"/>
          <w:vertAlign w:val="baseline"/>
          <w:lang w:val="en-US" w:eastAsia="zh-CN"/>
        </w:rPr>
      </w:pPr>
      <w:r>
        <w:rPr>
          <w:rFonts w:hint="eastAsia" w:cs="Times New Roman"/>
          <w:color w:val="auto"/>
          <w:highlight w:val="none"/>
          <w:vertAlign w:val="baseline"/>
          <w:lang w:val="en-US" w:eastAsia="zh-CN"/>
        </w:rPr>
        <w:t>报告期内的实测值，燃料含碳量的测定应遵循 GB/T 476、SH/T 0656、GB/T 13610、GB/T 8984等相关标准；没有实测条件的，可参考表 C.1 的相关参数缺省值。</w:t>
      </w:r>
    </w:p>
    <w:p w14:paraId="6533AE58">
      <w:pPr>
        <w:pStyle w:val="27"/>
        <w:keepNext w:val="0"/>
        <w:keepLines w:val="0"/>
        <w:pageBreakBefore w:val="0"/>
        <w:widowControl w:val="0"/>
        <w:kinsoku/>
        <w:wordWrap/>
        <w:overflowPunct/>
        <w:topLinePunct w:val="0"/>
        <w:bidi w:val="0"/>
        <w:adjustRightInd/>
        <w:snapToGrid w:val="0"/>
        <w:ind w:left="0" w:leftChars="0" w:firstLine="0" w:firstLineChars="0"/>
        <w:textAlignment w:val="auto"/>
        <w:rPr>
          <w:rFonts w:hint="default" w:ascii="宋体" w:eastAsia="宋体" w:cs="Times New Roman"/>
          <w:color w:val="auto"/>
          <w:highlight w:val="none"/>
          <w:vertAlign w:val="baseline"/>
          <w:lang w:val="en-US" w:eastAsia="zh-CN"/>
        </w:rPr>
      </w:pPr>
      <w:r>
        <w:rPr>
          <w:rFonts w:hint="eastAsia" w:ascii="黑体" w:hAnsi="黑体" w:eastAsia="黑体" w:cs="Times New Roman"/>
          <w:b w:val="0"/>
          <w:bCs w:val="0"/>
          <w:color w:val="auto"/>
          <w:sz w:val="21"/>
          <w:szCs w:val="21"/>
          <w:lang w:val="en-US" w:eastAsia="zh-CN" w:bidi="ar-SA"/>
        </w:rPr>
        <w:t xml:space="preserve">6.10  </w:t>
      </w:r>
      <w:r>
        <w:rPr>
          <w:rFonts w:hint="default" w:cs="Times New Roman"/>
          <w:color w:val="auto"/>
          <w:highlight w:val="none"/>
          <w:vertAlign w:val="baseline"/>
          <w:lang w:val="en-US" w:eastAsia="zh-CN"/>
        </w:rPr>
        <w:t>电网年平均供电排放因子应选用国家主管部门最近年份公布的相应区域数据。热力排放因子优先采用供热单位的实测值，数据不可得时按0.11tCO</w:t>
      </w:r>
      <w:r>
        <w:rPr>
          <w:rFonts w:hint="eastAsia" w:cs="Times New Roman"/>
          <w:color w:val="auto"/>
          <w:highlight w:val="none"/>
          <w:vertAlign w:val="subscript"/>
          <w:lang w:val="en-US" w:eastAsia="zh-CN"/>
        </w:rPr>
        <w:t>2</w:t>
      </w:r>
      <w:r>
        <w:rPr>
          <w:rFonts w:hint="default" w:cs="Times New Roman"/>
          <w:color w:val="auto"/>
          <w:highlight w:val="none"/>
          <w:vertAlign w:val="baseline"/>
          <w:lang w:val="en-US" w:eastAsia="zh-CN"/>
        </w:rPr>
        <w:t>/GJ计算。</w:t>
      </w:r>
      <w:bookmarkStart w:id="22" w:name="_GoBack"/>
      <w:bookmarkEnd w:id="22"/>
    </w:p>
    <w:p w14:paraId="5718D807">
      <w:pPr>
        <w:pStyle w:val="27"/>
        <w:keepNext w:val="0"/>
        <w:keepLines w:val="0"/>
        <w:pageBreakBefore w:val="0"/>
        <w:widowControl w:val="0"/>
        <w:kinsoku/>
        <w:wordWrap/>
        <w:overflowPunct/>
        <w:topLinePunct w:val="0"/>
        <w:bidi w:val="0"/>
        <w:adjustRightInd/>
        <w:snapToGrid w:val="0"/>
        <w:ind w:left="0" w:leftChars="0" w:firstLine="0" w:firstLineChars="0"/>
        <w:jc w:val="both"/>
        <w:textAlignment w:val="auto"/>
        <w:rPr>
          <w:rFonts w:hint="eastAsia" w:cs="Times New Roman"/>
          <w:color w:val="auto"/>
          <w:highlight w:val="none"/>
          <w:vertAlign w:val="baseline"/>
          <w:lang w:val="en-US" w:eastAsia="zh-CN"/>
        </w:rPr>
      </w:pPr>
    </w:p>
    <w:p w14:paraId="4A2DEAE1">
      <w:pPr>
        <w:pStyle w:val="39"/>
        <w:keepNext w:val="0"/>
        <w:keepLines w:val="0"/>
        <w:pageBreakBefore w:val="0"/>
        <w:numPr>
          <w:ilvl w:val="0"/>
          <w:numId w:val="0"/>
        </w:numPr>
        <w:kinsoku/>
        <w:wordWrap/>
        <w:overflowPunct/>
        <w:topLinePunct w:val="0"/>
        <w:bidi w:val="0"/>
        <w:adjustRightInd/>
        <w:snapToGrid w:val="0"/>
        <w:spacing w:before="312" w:after="312"/>
        <w:textAlignment w:val="auto"/>
        <w:outlineLvl w:val="9"/>
        <w:rPr>
          <w:rFonts w:hint="eastAsia"/>
          <w:color w:val="auto"/>
        </w:rPr>
        <w:sectPr>
          <w:footerReference r:id="rId10" w:type="default"/>
          <w:headerReference r:id="rId9" w:type="even"/>
          <w:footerReference r:id="rId11" w:type="even"/>
          <w:pgSz w:w="11906" w:h="16838"/>
          <w:pgMar w:top="567" w:right="1134" w:bottom="709" w:left="1418" w:header="1418" w:footer="1134" w:gutter="0"/>
          <w:pgBorders w:offsetFrom="page">
            <w:top w:val="none" w:sz="0" w:space="0"/>
            <w:left w:val="none" w:sz="0" w:space="0"/>
            <w:bottom w:val="none" w:sz="0" w:space="0"/>
            <w:right w:val="none" w:sz="0" w:space="0"/>
          </w:pgBorders>
          <w:pgNumType w:fmt="decimal" w:start="1"/>
          <w:cols w:space="425" w:num="1"/>
          <w:formProt w:val="0"/>
          <w:docGrid w:type="lines" w:linePitch="312" w:charSpace="0"/>
        </w:sectPr>
      </w:pPr>
    </w:p>
    <w:p w14:paraId="2A07C58B">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850" w:lineRule="exact"/>
        <w:jc w:val="center"/>
        <w:textAlignment w:val="auto"/>
        <w:outlineLvl w:val="0"/>
        <w:rPr>
          <w:rFonts w:hint="eastAsia" w:ascii="黑体" w:hAnsi="黑体" w:eastAsia="黑体" w:cs="黑体"/>
          <w:color w:val="auto"/>
          <w:sz w:val="21"/>
          <w:szCs w:val="21"/>
          <w:lang w:val="en-US" w:eastAsia="zh-CN" w:bidi="ar-SA"/>
        </w:rPr>
      </w:pPr>
    </w:p>
    <w:p w14:paraId="21C4CA5D">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bookmarkStart w:id="8" w:name="_Toc22187"/>
      <w:r>
        <w:rPr>
          <w:rFonts w:hint="eastAsia" w:ascii="黑体" w:hAnsi="黑体" w:eastAsia="黑体" w:cs="黑体"/>
          <w:color w:val="auto"/>
          <w:sz w:val="21"/>
          <w:szCs w:val="21"/>
          <w:lang w:val="en-US" w:eastAsia="zh-CN" w:bidi="ar-SA"/>
        </w:rPr>
        <w:t>附录</w:t>
      </w:r>
      <w:r>
        <w:rPr>
          <w:rFonts w:hint="eastAsia" w:hAnsi="黑体" w:cs="黑体"/>
          <w:color w:val="auto"/>
          <w:sz w:val="21"/>
          <w:szCs w:val="21"/>
          <w:lang w:val="en-US" w:eastAsia="zh-CN" w:bidi="ar-SA"/>
        </w:rPr>
        <w:t>A</w:t>
      </w:r>
      <w:bookmarkEnd w:id="8"/>
    </w:p>
    <w:p w14:paraId="0385E0F4">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bookmarkStart w:id="9" w:name="_Toc6596"/>
      <w:bookmarkStart w:id="10" w:name="_Toc25510"/>
      <w:r>
        <w:rPr>
          <w:rFonts w:hint="eastAsia" w:ascii="黑体" w:hAnsi="黑体" w:eastAsia="黑体" w:cs="黑体"/>
          <w:color w:val="auto"/>
          <w:sz w:val="21"/>
          <w:szCs w:val="21"/>
          <w:lang w:val="en-US" w:eastAsia="zh-CN" w:bidi="ar-SA"/>
        </w:rPr>
        <w:t>（资料性）</w:t>
      </w:r>
      <w:bookmarkEnd w:id="9"/>
      <w:bookmarkEnd w:id="10"/>
    </w:p>
    <w:p w14:paraId="15F507FB">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b w:val="0"/>
          <w:bCs w:val="0"/>
          <w:color w:val="auto"/>
          <w:szCs w:val="21"/>
          <w:lang w:val="en-US" w:eastAsia="zh-CN"/>
        </w:rPr>
      </w:pPr>
      <w:bookmarkStart w:id="11" w:name="_Toc11694"/>
      <w:bookmarkStart w:id="12" w:name="_Toc32126"/>
      <w:bookmarkStart w:id="13" w:name="_Toc2663"/>
      <w:r>
        <w:rPr>
          <w:rFonts w:hint="eastAsia"/>
          <w:b w:val="0"/>
          <w:bCs w:val="0"/>
          <w:color w:val="auto"/>
          <w:szCs w:val="21"/>
          <w:lang w:val="en-US" w:eastAsia="zh-CN"/>
        </w:rPr>
        <w:t>丙烯酸装置统计界区</w:t>
      </w:r>
      <w:bookmarkEnd w:id="11"/>
    </w:p>
    <w:bookmarkEnd w:id="12"/>
    <w:bookmarkEnd w:id="13"/>
    <w:p w14:paraId="38C15D9B">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ascii="宋体" w:hAnsi="Times New Roman" w:eastAsia="宋体" w:cs="Times New Roman"/>
          <w:color w:val="auto"/>
          <w:sz w:val="21"/>
          <w:szCs w:val="22"/>
          <w:vertAlign w:val="baseline"/>
          <w:lang w:val="en-US" w:eastAsia="zh-CN" w:bidi="ar-SA"/>
        </w:rPr>
      </w:pPr>
    </w:p>
    <w:p w14:paraId="6C4E0F32">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ascii="宋体" w:hAnsi="Times New Roman" w:eastAsia="宋体" w:cs="Times New Roman"/>
          <w:color w:val="auto"/>
          <w:sz w:val="21"/>
          <w:szCs w:val="22"/>
          <w:vertAlign w:val="baseline"/>
          <w:lang w:val="en-US" w:eastAsia="zh-CN" w:bidi="ar-SA"/>
        </w:rPr>
      </w:pPr>
      <w:r>
        <w:rPr>
          <w:rFonts w:hint="eastAsia" w:cs="Times New Roman"/>
          <w:color w:val="auto"/>
          <w:sz w:val="21"/>
          <w:szCs w:val="22"/>
          <w:vertAlign w:val="baseline"/>
          <w:lang w:val="en-US" w:eastAsia="zh-CN" w:bidi="ar-SA"/>
        </w:rPr>
        <w:t>丙烯酸</w:t>
      </w:r>
      <w:r>
        <w:rPr>
          <w:rFonts w:hint="eastAsia" w:ascii="宋体" w:hAnsi="Times New Roman" w:eastAsia="宋体" w:cs="Times New Roman"/>
          <w:color w:val="auto"/>
          <w:sz w:val="21"/>
          <w:szCs w:val="22"/>
          <w:vertAlign w:val="baseline"/>
          <w:lang w:val="en-US" w:eastAsia="zh-CN" w:bidi="ar-SA"/>
        </w:rPr>
        <w:t>能耗统计界区参见图 A.1。</w:t>
      </w:r>
    </w:p>
    <w:p w14:paraId="7F1E7DB3">
      <w:pPr>
        <w:pStyle w:val="27"/>
        <w:ind w:left="0" w:leftChars="0" w:firstLine="0" w:firstLineChars="0"/>
        <w:rPr>
          <w:rFonts w:hint="eastAsia"/>
          <w:b/>
          <w:bCs/>
          <w:color w:val="auto"/>
          <w:szCs w:val="21"/>
          <w:lang w:val="en-US" w:eastAsia="zh-CN"/>
        </w:rPr>
      </w:pPr>
      <w:r>
        <w:rPr>
          <w:rFonts w:hint="eastAsia"/>
          <w:b/>
          <w:bCs/>
          <w:color w:val="auto"/>
          <w:szCs w:val="21"/>
          <w:lang w:val="en-US" w:eastAsia="zh-CN"/>
        </w:rPr>
        <w:drawing>
          <wp:inline distT="0" distB="0" distL="114300" distR="114300">
            <wp:extent cx="5926455" cy="4370070"/>
            <wp:effectExtent l="0" t="0" r="4445" b="11430"/>
            <wp:docPr id="15" name="图片 15" descr="2026-7-10 丙烯酸工艺流程图边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2026-7-10 丙烯酸工艺流程图边界"/>
                    <pic:cNvPicPr>
                      <a:picLocks noChangeAspect="1"/>
                    </pic:cNvPicPr>
                  </pic:nvPicPr>
                  <pic:blipFill>
                    <a:blip r:embed="rId15"/>
                    <a:stretch>
                      <a:fillRect/>
                    </a:stretch>
                  </pic:blipFill>
                  <pic:spPr>
                    <a:xfrm>
                      <a:off x="0" y="0"/>
                      <a:ext cx="5926455" cy="4370070"/>
                    </a:xfrm>
                    <a:prstGeom prst="rect">
                      <a:avLst/>
                    </a:prstGeom>
                  </pic:spPr>
                </pic:pic>
              </a:graphicData>
            </a:graphic>
          </wp:inline>
        </w:drawing>
      </w:r>
    </w:p>
    <w:p w14:paraId="6A2FC9AB">
      <w:pPr>
        <w:pStyle w:val="39"/>
        <w:numPr>
          <w:ilvl w:val="0"/>
          <w:numId w:val="0"/>
        </w:numPr>
        <w:spacing w:before="312" w:after="312"/>
        <w:jc w:val="center"/>
        <w:outlineLvl w:val="0"/>
        <w:rPr>
          <w:rFonts w:hint="eastAsia" w:ascii="黑体" w:hAnsi="黑体" w:eastAsia="黑体" w:cs="黑体"/>
          <w:color w:val="auto"/>
          <w:sz w:val="21"/>
          <w:szCs w:val="22"/>
          <w:vertAlign w:val="baseline"/>
          <w:lang w:val="en-US" w:eastAsia="zh-CN" w:bidi="ar-SA"/>
        </w:rPr>
      </w:pPr>
      <w:bookmarkStart w:id="14" w:name="_Toc25755"/>
      <w:r>
        <w:rPr>
          <w:rFonts w:hint="eastAsia" w:ascii="黑体" w:hAnsi="黑体" w:eastAsia="黑体" w:cs="黑体"/>
          <w:color w:val="auto"/>
          <w:sz w:val="21"/>
          <w:szCs w:val="22"/>
          <w:vertAlign w:val="baseline"/>
          <w:lang w:val="en-US" w:eastAsia="zh-CN" w:bidi="ar-SA"/>
        </w:rPr>
        <w:t>图</w:t>
      </w:r>
      <w:r>
        <w:rPr>
          <w:rFonts w:hint="eastAsia" w:hAnsi="黑体" w:cs="黑体"/>
          <w:color w:val="auto"/>
          <w:sz w:val="21"/>
          <w:szCs w:val="22"/>
          <w:vertAlign w:val="baseline"/>
          <w:lang w:val="en-US" w:eastAsia="zh-CN" w:bidi="ar-SA"/>
        </w:rPr>
        <w:t>A</w:t>
      </w:r>
      <w:r>
        <w:rPr>
          <w:rFonts w:hint="eastAsia" w:ascii="黑体" w:hAnsi="黑体" w:eastAsia="黑体" w:cs="黑体"/>
          <w:color w:val="auto"/>
          <w:sz w:val="21"/>
          <w:szCs w:val="22"/>
          <w:vertAlign w:val="baseline"/>
          <w:lang w:val="en-US" w:eastAsia="zh-CN" w:bidi="ar-SA"/>
        </w:rPr>
        <w:t xml:space="preserve">.1  </w:t>
      </w:r>
      <w:r>
        <w:rPr>
          <w:rFonts w:hint="eastAsia"/>
          <w:b w:val="0"/>
          <w:bCs w:val="0"/>
          <w:color w:val="auto"/>
          <w:szCs w:val="21"/>
          <w:lang w:val="en-US" w:eastAsia="zh-CN"/>
        </w:rPr>
        <w:t>丙烯酸能耗统计界区示意</w:t>
      </w:r>
      <w:r>
        <w:rPr>
          <w:rFonts w:hint="eastAsia" w:ascii="黑体" w:hAnsi="黑体" w:eastAsia="黑体" w:cs="黑体"/>
          <w:color w:val="auto"/>
          <w:sz w:val="21"/>
          <w:szCs w:val="22"/>
          <w:vertAlign w:val="baseline"/>
          <w:lang w:val="en-US" w:eastAsia="zh-CN" w:bidi="ar-SA"/>
        </w:rPr>
        <w:t>图</w:t>
      </w:r>
      <w:bookmarkEnd w:id="14"/>
    </w:p>
    <w:p w14:paraId="3A273950">
      <w:pPr>
        <w:rPr>
          <w:rFonts w:hint="eastAsia"/>
          <w:b/>
          <w:bCs/>
          <w:color w:val="auto"/>
          <w:szCs w:val="21"/>
          <w:lang w:val="en-US" w:eastAsia="zh-CN"/>
        </w:rPr>
      </w:pPr>
      <w:r>
        <w:rPr>
          <w:rFonts w:hint="eastAsia"/>
          <w:b/>
          <w:bCs/>
          <w:color w:val="auto"/>
          <w:szCs w:val="21"/>
          <w:lang w:val="en-US" w:eastAsia="zh-CN"/>
        </w:rPr>
        <w:br w:type="page"/>
      </w:r>
    </w:p>
    <w:p w14:paraId="2171F99E">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sectPr>
          <w:footerReference r:id="rId12" w:type="default"/>
          <w:footerReference r:id="rId13" w:type="even"/>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p>
    <w:p w14:paraId="1233D440">
      <w:pPr>
        <w:pStyle w:val="27"/>
        <w:keepNext w:val="0"/>
        <w:keepLines w:val="0"/>
        <w:pageBreakBefore w:val="0"/>
        <w:widowControl w:val="0"/>
        <w:kinsoku/>
        <w:wordWrap/>
        <w:overflowPunct/>
        <w:topLinePunct w:val="0"/>
        <w:autoSpaceDE w:val="0"/>
        <w:autoSpaceDN w:val="0"/>
        <w:bidi w:val="0"/>
        <w:adjustRightInd/>
        <w:snapToGrid/>
        <w:spacing w:line="283" w:lineRule="exact"/>
        <w:ind w:left="0" w:leftChars="0" w:firstLine="0" w:firstLineChars="0"/>
        <w:textAlignment w:val="auto"/>
        <w:rPr>
          <w:rFonts w:hint="eastAsia" w:ascii="黑体" w:hAnsi="黑体" w:eastAsia="黑体" w:cs="黑体"/>
          <w:color w:val="auto"/>
          <w:sz w:val="21"/>
          <w:szCs w:val="21"/>
          <w:lang w:val="en-US" w:eastAsia="zh-CN" w:bidi="ar-SA"/>
        </w:rPr>
      </w:pPr>
    </w:p>
    <w:p w14:paraId="62676E3A">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s="Times New Roman"/>
          <w:color w:val="auto"/>
          <w:sz w:val="21"/>
          <w:szCs w:val="22"/>
          <w:vertAlign w:val="baseline"/>
          <w:lang w:val="en-US" w:eastAsia="zh-CN" w:bidi="ar-SA"/>
        </w:rPr>
      </w:pPr>
      <w:r>
        <w:rPr>
          <w:rFonts w:hint="eastAsia" w:cs="Times New Roman"/>
          <w:color w:val="auto"/>
          <w:sz w:val="21"/>
          <w:szCs w:val="22"/>
          <w:vertAlign w:val="baseline"/>
          <w:lang w:val="en-US" w:eastAsia="zh-CN" w:bidi="ar-SA"/>
        </w:rPr>
        <w:t>丙烯酸二氧化碳排放核算边界示意图参见图 A.2。</w:t>
      </w:r>
    </w:p>
    <w:p w14:paraId="4592E4D5">
      <w:pPr>
        <w:pStyle w:val="27"/>
        <w:ind w:left="0" w:leftChars="0" w:firstLine="0" w:firstLineChars="0"/>
        <w:jc w:val="center"/>
        <w:rPr>
          <w:rFonts w:hint="eastAsia" w:ascii="黑体" w:hAnsi="黑体" w:eastAsia="黑体" w:cs="黑体"/>
          <w:color w:val="auto"/>
          <w:sz w:val="21"/>
          <w:szCs w:val="21"/>
          <w:lang w:val="en-US" w:eastAsia="zh-CN" w:bidi="ar-SA"/>
        </w:rPr>
      </w:pPr>
      <w:r>
        <w:rPr>
          <w:rFonts w:hint="eastAsia" w:ascii="黑体" w:hAnsi="黑体" w:eastAsia="黑体" w:cs="黑体"/>
          <w:color w:val="auto"/>
          <w:sz w:val="21"/>
          <w:szCs w:val="21"/>
          <w:lang w:val="en-US" w:eastAsia="zh-CN" w:bidi="ar-SA"/>
        </w:rPr>
        <w:drawing>
          <wp:inline distT="0" distB="0" distL="114300" distR="114300">
            <wp:extent cx="5346065" cy="4133850"/>
            <wp:effectExtent l="0" t="0" r="635" b="6350"/>
            <wp:docPr id="14" name="图片 14" descr="2026-7-3 丙烯酸碳核算流程图边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2026-7-3 丙烯酸碳核算流程图边界"/>
                    <pic:cNvPicPr>
                      <a:picLocks noChangeAspect="1"/>
                    </pic:cNvPicPr>
                  </pic:nvPicPr>
                  <pic:blipFill>
                    <a:blip r:embed="rId16"/>
                    <a:stretch>
                      <a:fillRect/>
                    </a:stretch>
                  </pic:blipFill>
                  <pic:spPr>
                    <a:xfrm>
                      <a:off x="0" y="0"/>
                      <a:ext cx="5346065" cy="4133850"/>
                    </a:xfrm>
                    <a:prstGeom prst="rect">
                      <a:avLst/>
                    </a:prstGeom>
                  </pic:spPr>
                </pic:pic>
              </a:graphicData>
            </a:graphic>
          </wp:inline>
        </w:drawing>
      </w:r>
    </w:p>
    <w:p w14:paraId="601C337D">
      <w:pPr>
        <w:pStyle w:val="39"/>
        <w:numPr>
          <w:ilvl w:val="0"/>
          <w:numId w:val="0"/>
        </w:numPr>
        <w:spacing w:before="312" w:after="312"/>
        <w:jc w:val="center"/>
        <w:outlineLvl w:val="0"/>
        <w:rPr>
          <w:rFonts w:hint="eastAsia" w:ascii="黑体" w:hAnsi="黑体" w:eastAsia="黑体" w:cs="黑体"/>
          <w:color w:val="auto"/>
          <w:sz w:val="21"/>
          <w:szCs w:val="22"/>
          <w:vertAlign w:val="baseline"/>
          <w:lang w:val="en-US" w:eastAsia="zh-CN" w:bidi="ar-SA"/>
        </w:rPr>
      </w:pPr>
      <w:r>
        <w:rPr>
          <w:rFonts w:hint="eastAsia" w:ascii="黑体" w:hAnsi="黑体" w:eastAsia="黑体" w:cs="黑体"/>
          <w:color w:val="auto"/>
          <w:sz w:val="21"/>
          <w:szCs w:val="22"/>
          <w:vertAlign w:val="baseline"/>
          <w:lang w:val="en-US" w:eastAsia="zh-CN" w:bidi="ar-SA"/>
        </w:rPr>
        <w:t>图</w:t>
      </w:r>
      <w:r>
        <w:rPr>
          <w:rFonts w:hint="eastAsia" w:hAnsi="黑体" w:cs="黑体"/>
          <w:color w:val="auto"/>
          <w:sz w:val="21"/>
          <w:szCs w:val="22"/>
          <w:vertAlign w:val="baseline"/>
          <w:lang w:val="en-US" w:eastAsia="zh-CN" w:bidi="ar-SA"/>
        </w:rPr>
        <w:t>A</w:t>
      </w:r>
      <w:r>
        <w:rPr>
          <w:rFonts w:hint="eastAsia" w:ascii="黑体" w:hAnsi="黑体" w:eastAsia="黑体" w:cs="黑体"/>
          <w:color w:val="auto"/>
          <w:sz w:val="21"/>
          <w:szCs w:val="22"/>
          <w:vertAlign w:val="baseline"/>
          <w:lang w:val="en-US" w:eastAsia="zh-CN" w:bidi="ar-SA"/>
        </w:rPr>
        <w:t>.</w:t>
      </w:r>
      <w:r>
        <w:rPr>
          <w:rFonts w:hint="eastAsia" w:hAnsi="黑体" w:cs="黑体"/>
          <w:color w:val="auto"/>
          <w:sz w:val="21"/>
          <w:szCs w:val="22"/>
          <w:vertAlign w:val="baseline"/>
          <w:lang w:val="en-US" w:eastAsia="zh-CN" w:bidi="ar-SA"/>
        </w:rPr>
        <w:t>2</w:t>
      </w:r>
      <w:r>
        <w:rPr>
          <w:rFonts w:hint="eastAsia" w:ascii="黑体" w:hAnsi="黑体" w:eastAsia="黑体" w:cs="黑体"/>
          <w:color w:val="auto"/>
          <w:sz w:val="21"/>
          <w:szCs w:val="22"/>
          <w:vertAlign w:val="baseline"/>
          <w:lang w:val="en-US" w:eastAsia="zh-CN" w:bidi="ar-SA"/>
        </w:rPr>
        <w:t xml:space="preserve">  </w:t>
      </w:r>
      <w:r>
        <w:rPr>
          <w:rFonts w:hint="eastAsia"/>
          <w:b w:val="0"/>
          <w:bCs w:val="0"/>
          <w:color w:val="auto"/>
          <w:szCs w:val="21"/>
          <w:lang w:val="en-US" w:eastAsia="zh-CN"/>
        </w:rPr>
        <w:t>丙烯酸二氧化碳排放核算边界示意</w:t>
      </w:r>
      <w:r>
        <w:rPr>
          <w:rFonts w:hint="eastAsia" w:ascii="黑体" w:hAnsi="黑体" w:eastAsia="黑体" w:cs="黑体"/>
          <w:color w:val="auto"/>
          <w:sz w:val="21"/>
          <w:szCs w:val="22"/>
          <w:vertAlign w:val="baseline"/>
          <w:lang w:val="en-US" w:eastAsia="zh-CN" w:bidi="ar-SA"/>
        </w:rPr>
        <w:t>图</w:t>
      </w:r>
    </w:p>
    <w:p w14:paraId="13972090">
      <w:pPr>
        <w:pStyle w:val="27"/>
        <w:rPr>
          <w:rFonts w:hint="eastAsia" w:ascii="黑体" w:hAnsi="黑体" w:eastAsia="黑体" w:cs="黑体"/>
          <w:color w:val="auto"/>
          <w:sz w:val="21"/>
          <w:szCs w:val="21"/>
          <w:lang w:val="en-US" w:eastAsia="zh-CN" w:bidi="ar-SA"/>
        </w:rPr>
      </w:pPr>
    </w:p>
    <w:p w14:paraId="3D94E6E9">
      <w:pPr>
        <w:pStyle w:val="27"/>
        <w:rPr>
          <w:rFonts w:hint="eastAsia" w:ascii="黑体" w:hAnsi="黑体" w:eastAsia="黑体" w:cs="黑体"/>
          <w:color w:val="auto"/>
          <w:sz w:val="21"/>
          <w:szCs w:val="21"/>
          <w:lang w:val="en-US" w:eastAsia="zh-CN" w:bidi="ar-SA"/>
        </w:rPr>
      </w:pPr>
    </w:p>
    <w:p w14:paraId="44CCA2DB">
      <w:pPr>
        <w:pStyle w:val="27"/>
        <w:rPr>
          <w:rFonts w:hint="eastAsia" w:ascii="黑体" w:hAnsi="黑体" w:eastAsia="黑体" w:cs="黑体"/>
          <w:color w:val="auto"/>
          <w:sz w:val="21"/>
          <w:szCs w:val="21"/>
          <w:lang w:val="en-US" w:eastAsia="zh-CN" w:bidi="ar-SA"/>
        </w:rPr>
        <w:sectPr>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p>
    <w:p w14:paraId="2AE5633E">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850" w:lineRule="exact"/>
        <w:jc w:val="center"/>
        <w:textAlignment w:val="auto"/>
        <w:outlineLvl w:val="0"/>
        <w:rPr>
          <w:rFonts w:hint="eastAsia" w:ascii="黑体" w:hAnsi="黑体" w:eastAsia="黑体" w:cs="黑体"/>
          <w:color w:val="auto"/>
          <w:sz w:val="21"/>
          <w:szCs w:val="21"/>
          <w:lang w:val="en-US" w:eastAsia="zh-CN" w:bidi="ar-SA"/>
        </w:rPr>
      </w:pPr>
    </w:p>
    <w:p w14:paraId="4D52E75F">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r>
        <w:rPr>
          <w:rFonts w:hint="eastAsia" w:ascii="黑体" w:hAnsi="黑体" w:eastAsia="黑体" w:cs="黑体"/>
          <w:color w:val="auto"/>
          <w:sz w:val="21"/>
          <w:szCs w:val="21"/>
          <w:lang w:val="en-US" w:eastAsia="zh-CN" w:bidi="ar-SA"/>
        </w:rPr>
        <w:t>附录</w:t>
      </w:r>
      <w:r>
        <w:rPr>
          <w:rFonts w:hint="eastAsia" w:hAnsi="黑体" w:cs="黑体"/>
          <w:color w:val="auto"/>
          <w:sz w:val="21"/>
          <w:szCs w:val="21"/>
          <w:lang w:val="en-US" w:eastAsia="zh-CN" w:bidi="ar-SA"/>
        </w:rPr>
        <w:t>B</w:t>
      </w:r>
    </w:p>
    <w:p w14:paraId="4B86212B">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r>
        <w:rPr>
          <w:rFonts w:hint="eastAsia" w:ascii="黑体" w:hAnsi="黑体" w:eastAsia="黑体" w:cs="黑体"/>
          <w:color w:val="auto"/>
          <w:sz w:val="21"/>
          <w:szCs w:val="21"/>
          <w:lang w:val="en-US" w:eastAsia="zh-CN" w:bidi="ar-SA"/>
        </w:rPr>
        <w:t>（资料性）</w:t>
      </w:r>
    </w:p>
    <w:p w14:paraId="14654EE7">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r>
        <w:rPr>
          <w:rFonts w:hint="eastAsia" w:ascii="黑体" w:hAnsi="黑体" w:eastAsia="黑体" w:cs="黑体"/>
          <w:color w:val="auto"/>
          <w:sz w:val="21"/>
          <w:szCs w:val="21"/>
          <w:lang w:val="en-US" w:eastAsia="zh-CN" w:bidi="ar-SA"/>
        </w:rPr>
        <w:t>各种能源折标准煤参考系数表</w:t>
      </w:r>
    </w:p>
    <w:p w14:paraId="1E1DEBBB">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olor w:val="auto"/>
          <w:lang w:val="en-US" w:eastAsia="zh-CN"/>
        </w:rPr>
      </w:pPr>
    </w:p>
    <w:p w14:paraId="01A1E888">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ascii="宋体" w:hAnsi="Times New Roman" w:eastAsia="宋体" w:cs="Times New Roman"/>
          <w:color w:val="auto"/>
          <w:sz w:val="21"/>
          <w:szCs w:val="22"/>
          <w:vertAlign w:val="baseline"/>
          <w:lang w:val="en-US" w:eastAsia="zh-CN" w:bidi="ar-SA"/>
        </w:rPr>
      </w:pPr>
      <w:r>
        <w:rPr>
          <w:rFonts w:hint="eastAsia" w:ascii="宋体" w:hAnsi="Times New Roman" w:eastAsia="宋体" w:cs="Times New Roman"/>
          <w:color w:val="auto"/>
          <w:sz w:val="21"/>
          <w:szCs w:val="22"/>
          <w:vertAlign w:val="baseline"/>
          <w:lang w:val="en-US" w:eastAsia="zh-CN" w:bidi="ar-SA"/>
        </w:rPr>
        <w:t>各种能源折标准煤参考系数表见表 B.1。</w:t>
      </w:r>
    </w:p>
    <w:p w14:paraId="76F5DD87">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olor w:val="auto"/>
          <w:lang w:val="en-US" w:eastAsia="zh-CN"/>
        </w:rPr>
      </w:pPr>
    </w:p>
    <w:p w14:paraId="680655BA">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b w:val="0"/>
          <w:bCs w:val="0"/>
          <w:color w:val="auto"/>
          <w:szCs w:val="21"/>
          <w:lang w:val="en-US" w:eastAsia="zh-CN"/>
        </w:rPr>
      </w:pPr>
      <w:r>
        <w:rPr>
          <w:rFonts w:hint="eastAsia"/>
          <w:b w:val="0"/>
          <w:bCs w:val="0"/>
          <w:color w:val="auto"/>
          <w:szCs w:val="21"/>
          <w:lang w:val="en-US" w:eastAsia="zh-CN"/>
        </w:rPr>
        <w:t>表B.1  各种能源折标准煤参考系数表</w:t>
      </w:r>
    </w:p>
    <w:p w14:paraId="30673452">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olor w:val="auto"/>
          <w:lang w:val="en-US" w:eastAsia="zh-CN"/>
        </w:rPr>
      </w:pPr>
    </w:p>
    <w:tbl>
      <w:tblPr>
        <w:tblStyle w:val="11"/>
        <w:tblW w:w="5022"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6"/>
        <w:gridCol w:w="3084"/>
        <w:gridCol w:w="5242"/>
      </w:tblGrid>
      <w:tr w14:paraId="367D312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51" w:hRule="atLeast"/>
          <w:tblHeader/>
          <w:jc w:val="center"/>
        </w:trPr>
        <w:tc>
          <w:tcPr>
            <w:tcW w:w="669" w:type="pct"/>
            <w:tcBorders>
              <w:bottom w:val="single" w:color="auto" w:sz="12" w:space="0"/>
              <w:right w:val="single" w:color="000000" w:sz="4" w:space="0"/>
            </w:tcBorders>
            <w:shd w:val="clear" w:color="auto" w:fill="auto"/>
            <w:vAlign w:val="center"/>
          </w:tcPr>
          <w:p w14:paraId="543B5F6F">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bookmarkStart w:id="15" w:name="_Toc2297"/>
            <w:r>
              <w:rPr>
                <w:rFonts w:hint="default" w:ascii="Times New Roman" w:hAnsi="Times New Roman" w:cs="Times New Roman"/>
                <w:b w:val="0"/>
                <w:bCs w:val="0"/>
                <w:i w:val="0"/>
                <w:iCs w:val="0"/>
                <w:color w:val="auto"/>
                <w:kern w:val="0"/>
                <w:sz w:val="18"/>
                <w:szCs w:val="18"/>
                <w:u w:val="none"/>
                <w:lang w:val="en-US" w:eastAsia="zh-CN" w:bidi="ar"/>
              </w:rPr>
              <w:t>序号</w:t>
            </w:r>
          </w:p>
        </w:tc>
        <w:tc>
          <w:tcPr>
            <w:tcW w:w="1604" w:type="pct"/>
            <w:tcBorders>
              <w:left w:val="single" w:color="000000" w:sz="4" w:space="0"/>
              <w:bottom w:val="single" w:color="auto" w:sz="12" w:space="0"/>
              <w:right w:val="single" w:color="000000" w:sz="4" w:space="0"/>
            </w:tcBorders>
            <w:shd w:val="clear" w:color="auto" w:fill="auto"/>
            <w:vAlign w:val="center"/>
          </w:tcPr>
          <w:p w14:paraId="3FA8ACA6">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18"/>
                <w:szCs w:val="18"/>
                <w:u w:val="none"/>
              </w:rPr>
            </w:pPr>
            <w:r>
              <w:rPr>
                <w:rFonts w:hint="default" w:ascii="Times New Roman" w:hAnsi="Times New Roman" w:eastAsia="宋体" w:cs="Times New Roman"/>
                <w:b w:val="0"/>
                <w:bCs w:val="0"/>
                <w:i w:val="0"/>
                <w:iCs w:val="0"/>
                <w:color w:val="auto"/>
                <w:kern w:val="0"/>
                <w:sz w:val="18"/>
                <w:szCs w:val="18"/>
                <w:u w:val="none"/>
                <w:lang w:val="en-US" w:eastAsia="zh-CN" w:bidi="ar"/>
              </w:rPr>
              <w:t>能源名称</w:t>
            </w:r>
          </w:p>
        </w:tc>
        <w:tc>
          <w:tcPr>
            <w:tcW w:w="2726" w:type="pct"/>
            <w:tcBorders>
              <w:left w:val="single" w:color="000000" w:sz="4" w:space="0"/>
              <w:bottom w:val="single" w:color="auto" w:sz="12" w:space="0"/>
            </w:tcBorders>
            <w:shd w:val="clear" w:color="auto" w:fill="auto"/>
            <w:vAlign w:val="center"/>
          </w:tcPr>
          <w:p w14:paraId="22AB88B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折标准煤系数</w:t>
            </w:r>
            <w:r>
              <w:rPr>
                <w:rFonts w:hint="default" w:ascii="Times New Roman" w:hAnsi="Times New Roman" w:cs="Times New Roman"/>
                <w:b w:val="0"/>
                <w:bCs w:val="0"/>
                <w:i w:val="0"/>
                <w:iCs w:val="0"/>
                <w:color w:val="auto"/>
                <w:kern w:val="0"/>
                <w:sz w:val="18"/>
                <w:szCs w:val="18"/>
                <w:u w:val="none"/>
                <w:lang w:val="en-US" w:eastAsia="zh-CN" w:bidi="ar"/>
              </w:rPr>
              <w:t>（参考值）</w:t>
            </w:r>
          </w:p>
        </w:tc>
      </w:tr>
      <w:tr w14:paraId="6340BEF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auto" w:sz="12" w:space="0"/>
              <w:bottom w:val="single" w:color="000000" w:sz="4" w:space="0"/>
              <w:right w:val="single" w:color="000000" w:sz="4" w:space="0"/>
              <w:tl2br w:val="nil"/>
              <w:tr2bl w:val="nil"/>
            </w:tcBorders>
            <w:shd w:val="clear" w:color="auto" w:fill="auto"/>
            <w:vAlign w:val="center"/>
          </w:tcPr>
          <w:p w14:paraId="5888049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w:t>
            </w:r>
          </w:p>
        </w:tc>
        <w:tc>
          <w:tcPr>
            <w:tcW w:w="1604" w:type="pct"/>
            <w:tcBorders>
              <w:top w:val="single" w:color="auto" w:sz="12" w:space="0"/>
              <w:left w:val="single" w:color="000000" w:sz="4" w:space="0"/>
              <w:bottom w:val="single" w:color="000000" w:sz="4" w:space="0"/>
              <w:right w:val="single" w:color="000000" w:sz="4" w:space="0"/>
              <w:tl2br w:val="nil"/>
              <w:tr2bl w:val="nil"/>
            </w:tcBorders>
            <w:shd w:val="clear" w:color="auto" w:fill="auto"/>
            <w:vAlign w:val="center"/>
          </w:tcPr>
          <w:p w14:paraId="6FFBC2F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原煤</w:t>
            </w:r>
          </w:p>
        </w:tc>
        <w:tc>
          <w:tcPr>
            <w:tcW w:w="2726" w:type="pct"/>
            <w:tcBorders>
              <w:top w:val="single" w:color="auto" w:sz="12" w:space="0"/>
              <w:left w:val="single" w:color="000000" w:sz="4" w:space="0"/>
              <w:bottom w:val="single" w:color="000000" w:sz="4" w:space="0"/>
              <w:tl2br w:val="nil"/>
              <w:tr2bl w:val="nil"/>
            </w:tcBorders>
            <w:shd w:val="clear" w:color="auto" w:fill="auto"/>
            <w:vAlign w:val="center"/>
          </w:tcPr>
          <w:p w14:paraId="0BD8773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0.7143 kgce/kg</w:t>
            </w:r>
          </w:p>
        </w:tc>
      </w:tr>
      <w:tr w14:paraId="6F47441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1753B19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2</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B8D7EA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洗精煤</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6A0E82B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0.9000 kgce/kg</w:t>
            </w:r>
          </w:p>
        </w:tc>
      </w:tr>
      <w:tr w14:paraId="3F2390C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15AC2AA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C6FCDF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洗中煤</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7C5A3BB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0.2857 kgce/kg</w:t>
            </w:r>
          </w:p>
        </w:tc>
      </w:tr>
      <w:tr w14:paraId="2E8D3C0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5802EAA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E81E3C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煤泥</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5315BED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0.2857 kgce/kg</w:t>
            </w:r>
            <w:r>
              <w:rPr>
                <w:rFonts w:hint="eastAsia" w:cs="Times New Roman"/>
                <w:i w:val="0"/>
                <w:iCs w:val="0"/>
                <w:color w:val="auto"/>
                <w:kern w:val="0"/>
                <w:sz w:val="18"/>
                <w:szCs w:val="18"/>
                <w:u w:val="none"/>
                <w:lang w:val="en-US" w:eastAsia="zh-CN" w:bidi="ar"/>
              </w:rPr>
              <w:t xml:space="preserve"> </w:t>
            </w:r>
            <w:r>
              <w:rPr>
                <w:rFonts w:hint="default" w:ascii="Times New Roman" w:hAnsi="Times New Roman" w:eastAsia="宋体" w:cs="Times New Roman"/>
                <w:i w:val="0"/>
                <w:iCs w:val="0"/>
                <w:color w:val="auto"/>
                <w:kern w:val="0"/>
                <w:sz w:val="18"/>
                <w:szCs w:val="18"/>
                <w:u w:val="none"/>
                <w:lang w:val="en-US" w:eastAsia="zh-CN" w:bidi="ar"/>
              </w:rPr>
              <w:t>~</w:t>
            </w:r>
            <w:r>
              <w:rPr>
                <w:rFonts w:hint="eastAsia" w:cs="Times New Roman"/>
                <w:i w:val="0"/>
                <w:iCs w:val="0"/>
                <w:color w:val="auto"/>
                <w:kern w:val="0"/>
                <w:sz w:val="18"/>
                <w:szCs w:val="18"/>
                <w:u w:val="none"/>
                <w:lang w:val="en-US" w:eastAsia="zh-CN" w:bidi="ar"/>
              </w:rPr>
              <w:t xml:space="preserve"> </w:t>
            </w:r>
            <w:r>
              <w:rPr>
                <w:rFonts w:hint="default" w:ascii="Times New Roman" w:hAnsi="Times New Roman" w:eastAsia="宋体" w:cs="Times New Roman"/>
                <w:i w:val="0"/>
                <w:iCs w:val="0"/>
                <w:color w:val="auto"/>
                <w:kern w:val="0"/>
                <w:sz w:val="18"/>
                <w:szCs w:val="18"/>
                <w:u w:val="none"/>
                <w:lang w:val="en-US" w:eastAsia="zh-CN" w:bidi="ar"/>
              </w:rPr>
              <w:t>0.4286 kgce/kg</w:t>
            </w:r>
          </w:p>
        </w:tc>
      </w:tr>
      <w:tr w14:paraId="101607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64C2C8F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5</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23AEFF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煤焦油</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38E814D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1.14</w:t>
            </w:r>
            <w:r>
              <w:rPr>
                <w:rFonts w:hint="eastAsia" w:cs="Times New Roman"/>
                <w:i w:val="0"/>
                <w:iCs w:val="0"/>
                <w:color w:val="auto"/>
                <w:kern w:val="0"/>
                <w:sz w:val="18"/>
                <w:szCs w:val="18"/>
                <w:u w:val="none"/>
                <w:lang w:val="en-US" w:eastAsia="zh-CN" w:bidi="ar"/>
              </w:rPr>
              <w:t>2</w:t>
            </w:r>
            <w:r>
              <w:rPr>
                <w:rFonts w:hint="default" w:ascii="Times New Roman" w:hAnsi="Times New Roman" w:eastAsia="宋体" w:cs="Times New Roman"/>
                <w:i w:val="0"/>
                <w:iCs w:val="0"/>
                <w:color w:val="auto"/>
                <w:kern w:val="0"/>
                <w:sz w:val="18"/>
                <w:szCs w:val="18"/>
                <w:u w:val="none"/>
                <w:lang w:val="en-US" w:eastAsia="zh-CN" w:bidi="ar"/>
              </w:rPr>
              <w:t>9 kgce/kg</w:t>
            </w:r>
          </w:p>
        </w:tc>
      </w:tr>
      <w:tr w14:paraId="0036E94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5B623D7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6</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25292A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原油</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3F770FB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1.4286 kgce/kg</w:t>
            </w:r>
          </w:p>
        </w:tc>
      </w:tr>
      <w:tr w14:paraId="6C822DE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29CFBA9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7</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82FC58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燃料油</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55B8578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1.4286 kgce/kg</w:t>
            </w:r>
          </w:p>
        </w:tc>
      </w:tr>
      <w:tr w14:paraId="198C80A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62BDF39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8</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40FB56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汽油</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6406F50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1.4714 kgce/kg</w:t>
            </w:r>
          </w:p>
        </w:tc>
      </w:tr>
      <w:tr w14:paraId="23F76FA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30934BA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B3DED0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煤油</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4BCA111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1.4714 kgce/kg</w:t>
            </w:r>
          </w:p>
        </w:tc>
      </w:tr>
      <w:tr w14:paraId="375DBF8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52B3BF3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10</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8AFCE7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柴油</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2BDD0B0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1.4571 kgce/kg</w:t>
            </w:r>
          </w:p>
        </w:tc>
      </w:tr>
      <w:tr w14:paraId="7792E65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01678A6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11</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2E4512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天然气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5B7CDA0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1.1000 kgce/</w:t>
            </w:r>
            <w:r>
              <w:rPr>
                <w:rFonts w:hint="eastAsia" w:cs="Times New Roman"/>
                <w:i w:val="0"/>
                <w:iCs w:val="0"/>
                <w:color w:val="auto"/>
                <w:kern w:val="0"/>
                <w:sz w:val="18"/>
                <w:szCs w:val="18"/>
                <w:u w:val="none"/>
                <w:lang w:val="en-US" w:eastAsia="zh-CN" w:bidi="ar"/>
              </w:rPr>
              <w:t>m</w:t>
            </w:r>
            <w:r>
              <w:rPr>
                <w:rFonts w:hint="default" w:ascii="Times New Roman" w:hAnsi="Times New Roman" w:eastAsia="宋体" w:cs="Times New Roman"/>
                <w:i w:val="0"/>
                <w:iCs w:val="0"/>
                <w:color w:val="auto"/>
                <w:kern w:val="0"/>
                <w:sz w:val="18"/>
                <w:szCs w:val="18"/>
                <w:u w:val="none"/>
                <w:vertAlign w:val="superscript"/>
                <w:lang w:val="en-US" w:eastAsia="zh-CN" w:bidi="ar"/>
              </w:rPr>
              <w:t>3</w:t>
            </w:r>
            <w:r>
              <w:rPr>
                <w:rFonts w:hint="eastAsia" w:ascii="Times New Roman" w:hAnsi="Times New Roman" w:cs="Times New Roman"/>
                <w:i w:val="0"/>
                <w:iCs w:val="0"/>
                <w:color w:val="auto"/>
                <w:kern w:val="0"/>
                <w:sz w:val="18"/>
                <w:szCs w:val="18"/>
                <w:u w:val="none"/>
                <w:lang w:val="en-US" w:eastAsia="zh-CN" w:bidi="ar"/>
              </w:rPr>
              <w:t>~</w:t>
            </w:r>
            <w:r>
              <w:rPr>
                <w:rFonts w:hint="default" w:ascii="Times New Roman" w:hAnsi="Times New Roman" w:eastAsia="宋体" w:cs="Times New Roman"/>
                <w:i w:val="0"/>
                <w:iCs w:val="0"/>
                <w:color w:val="auto"/>
                <w:kern w:val="0"/>
                <w:sz w:val="18"/>
                <w:szCs w:val="18"/>
                <w:u w:val="none"/>
                <w:lang w:val="en-US" w:eastAsia="zh-CN" w:bidi="ar"/>
              </w:rPr>
              <w:t>1.3300 kgce/</w:t>
            </w:r>
            <w:r>
              <w:rPr>
                <w:rFonts w:hint="eastAsia" w:cs="Times New Roman"/>
                <w:i w:val="0"/>
                <w:iCs w:val="0"/>
                <w:color w:val="auto"/>
                <w:kern w:val="0"/>
                <w:sz w:val="18"/>
                <w:szCs w:val="18"/>
                <w:u w:val="none"/>
                <w:lang w:val="en-US" w:eastAsia="zh-CN" w:bidi="ar"/>
              </w:rPr>
              <w:t>m</w:t>
            </w:r>
            <w:r>
              <w:rPr>
                <w:rFonts w:hint="default" w:ascii="Times New Roman" w:hAnsi="Times New Roman" w:eastAsia="宋体" w:cs="Times New Roman"/>
                <w:i w:val="0"/>
                <w:iCs w:val="0"/>
                <w:color w:val="auto"/>
                <w:kern w:val="0"/>
                <w:sz w:val="18"/>
                <w:szCs w:val="18"/>
                <w:u w:val="none"/>
                <w:vertAlign w:val="superscript"/>
                <w:lang w:val="en-US" w:eastAsia="zh-CN" w:bidi="ar"/>
              </w:rPr>
              <w:t>3</w:t>
            </w:r>
          </w:p>
        </w:tc>
      </w:tr>
      <w:tr w14:paraId="69243F8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3387283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12</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AA6452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液化天然气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1FC557F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1.7572 kgce/kg</w:t>
            </w:r>
          </w:p>
        </w:tc>
      </w:tr>
      <w:tr w14:paraId="1A9D8BA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2315B95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3</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84A75C2">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液化石油气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13D33EF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1.7143</w:t>
            </w:r>
            <w:r>
              <w:rPr>
                <w:rFonts w:hint="default" w:ascii="Times New Roman" w:hAnsi="Times New Roman" w:cs="Times New Roman"/>
                <w:i w:val="0"/>
                <w:iCs w:val="0"/>
                <w:color w:val="auto"/>
                <w:kern w:val="0"/>
                <w:sz w:val="18"/>
                <w:szCs w:val="18"/>
                <w:u w:val="none"/>
                <w:lang w:val="en-US" w:eastAsia="zh-CN" w:bidi="ar"/>
              </w:rPr>
              <w:t xml:space="preserve"> kgce/kg</w:t>
            </w:r>
          </w:p>
        </w:tc>
      </w:tr>
      <w:tr w14:paraId="6EAB0BF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5B07B7F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4</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774A5D86">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炼厂干气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0ABDC19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1.5714</w:t>
            </w:r>
            <w:r>
              <w:rPr>
                <w:rFonts w:hint="default" w:ascii="Times New Roman" w:hAnsi="Times New Roman" w:cs="Times New Roman"/>
                <w:i w:val="0"/>
                <w:iCs w:val="0"/>
                <w:color w:val="auto"/>
                <w:kern w:val="0"/>
                <w:sz w:val="18"/>
                <w:szCs w:val="18"/>
                <w:u w:val="none"/>
                <w:lang w:val="en-US" w:eastAsia="zh-CN" w:bidi="ar"/>
              </w:rPr>
              <w:t xml:space="preserve"> kgce/kg</w:t>
            </w:r>
          </w:p>
        </w:tc>
      </w:tr>
      <w:tr w14:paraId="60D4083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2733930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5</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4F4D40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氢气（</w:t>
            </w:r>
            <w:r>
              <w:rPr>
                <w:rFonts w:hint="eastAsia" w:cs="Times New Roman"/>
                <w:i w:val="0"/>
                <w:iCs w:val="0"/>
                <w:color w:val="auto"/>
                <w:kern w:val="0"/>
                <w:sz w:val="18"/>
                <w:szCs w:val="18"/>
                <w:u w:val="none"/>
                <w:lang w:val="en-US" w:eastAsia="zh-CN" w:bidi="ar"/>
              </w:rPr>
              <w:t>用作燃料，</w:t>
            </w:r>
            <w:r>
              <w:rPr>
                <w:rFonts w:hint="default" w:ascii="Times New Roman" w:hAnsi="Times New Roman" w:eastAsia="宋体" w:cs="Times New Roman"/>
                <w:i w:val="0"/>
                <w:iCs w:val="0"/>
                <w:color w:val="auto"/>
                <w:kern w:val="0"/>
                <w:sz w:val="18"/>
                <w:szCs w:val="18"/>
                <w:u w:val="none"/>
                <w:lang w:val="en-US" w:eastAsia="zh-CN" w:bidi="ar"/>
              </w:rPr>
              <w:t>密度0.08</w:t>
            </w:r>
            <w:r>
              <w:rPr>
                <w:rFonts w:hint="eastAsia" w:cs="Times New Roman"/>
                <w:i w:val="0"/>
                <w:iCs w:val="0"/>
                <w:color w:val="auto"/>
                <w:kern w:val="0"/>
                <w:sz w:val="18"/>
                <w:szCs w:val="18"/>
                <w:u w:val="none"/>
                <w:lang w:val="en-US" w:eastAsia="zh-CN" w:bidi="ar"/>
              </w:rPr>
              <w:t>2</w:t>
            </w:r>
            <w:r>
              <w:rPr>
                <w:rFonts w:hint="default" w:ascii="Times New Roman" w:hAnsi="Times New Roman" w:eastAsia="宋体" w:cs="Times New Roman"/>
                <w:i w:val="0"/>
                <w:iCs w:val="0"/>
                <w:color w:val="auto"/>
                <w:kern w:val="0"/>
                <w:sz w:val="18"/>
                <w:szCs w:val="18"/>
                <w:u w:val="none"/>
                <w:lang w:val="en-US" w:eastAsia="zh-CN" w:bidi="ar"/>
              </w:rPr>
              <w:t>kg/m</w:t>
            </w:r>
            <w:r>
              <w:rPr>
                <w:rFonts w:hint="eastAsia" w:cs="Times New Roman"/>
                <w:i w:val="0"/>
                <w:iCs w:val="0"/>
                <w:color w:val="auto"/>
                <w:kern w:val="0"/>
                <w:sz w:val="18"/>
                <w:szCs w:val="18"/>
                <w:u w:val="none"/>
                <w:vertAlign w:val="superscript"/>
                <w:lang w:val="en-US" w:eastAsia="zh-CN" w:bidi="ar"/>
              </w:rPr>
              <w:t>3</w:t>
            </w:r>
            <w:r>
              <w:rPr>
                <w:rFonts w:hint="default" w:ascii="Times New Roman" w:hAnsi="Times New Roman" w:eastAsia="宋体" w:cs="Times New Roman"/>
                <w:i w:val="0"/>
                <w:iCs w:val="0"/>
                <w:color w:val="auto"/>
                <w:kern w:val="0"/>
                <w:sz w:val="18"/>
                <w:szCs w:val="18"/>
                <w:u w:val="none"/>
                <w:lang w:val="en-US" w:eastAsia="zh-CN" w:bidi="ar"/>
              </w:rPr>
              <w:t>）</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278A629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0.3329 kgce/</w:t>
            </w:r>
            <w:r>
              <w:rPr>
                <w:rFonts w:hint="eastAsia" w:cs="Times New Roman"/>
                <w:i w:val="0"/>
                <w:iCs w:val="0"/>
                <w:color w:val="auto"/>
                <w:kern w:val="0"/>
                <w:sz w:val="18"/>
                <w:szCs w:val="18"/>
                <w:u w:val="none"/>
                <w:lang w:val="en-US" w:eastAsia="zh-CN" w:bidi="ar"/>
              </w:rPr>
              <w:t>m</w:t>
            </w:r>
            <w:r>
              <w:rPr>
                <w:rFonts w:hint="default" w:ascii="Times New Roman" w:hAnsi="Times New Roman" w:eastAsia="宋体" w:cs="Times New Roman"/>
                <w:i w:val="0"/>
                <w:iCs w:val="0"/>
                <w:color w:val="auto"/>
                <w:kern w:val="0"/>
                <w:sz w:val="18"/>
                <w:szCs w:val="18"/>
                <w:u w:val="none"/>
                <w:vertAlign w:val="superscript"/>
                <w:lang w:val="en-US" w:eastAsia="zh-CN" w:bidi="ar"/>
              </w:rPr>
              <w:t>3</w:t>
            </w:r>
          </w:p>
        </w:tc>
      </w:tr>
      <w:tr w14:paraId="0AE3AA9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78E584E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6</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403B8A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焦炉煤气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7AB6359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0.5714 kgce/m</w:t>
            </w:r>
            <w:r>
              <w:rPr>
                <w:rFonts w:hint="eastAsia" w:cs="Times New Roman"/>
                <w:i w:val="0"/>
                <w:iCs w:val="0"/>
                <w:color w:val="auto"/>
                <w:kern w:val="0"/>
                <w:sz w:val="18"/>
                <w:szCs w:val="18"/>
                <w:u w:val="none"/>
                <w:vertAlign w:val="superscript"/>
                <w:lang w:val="en-US" w:eastAsia="zh-CN" w:bidi="ar"/>
              </w:rPr>
              <w:t>3</w:t>
            </w:r>
            <w:r>
              <w:rPr>
                <w:rFonts w:hint="eastAsia" w:cs="Times New Roman"/>
                <w:i w:val="0"/>
                <w:iCs w:val="0"/>
                <w:color w:val="auto"/>
                <w:kern w:val="0"/>
                <w:sz w:val="18"/>
                <w:szCs w:val="18"/>
                <w:u w:val="none"/>
                <w:lang w:val="en-US" w:eastAsia="zh-CN" w:bidi="ar"/>
              </w:rPr>
              <w:t xml:space="preserve"> </w:t>
            </w:r>
            <w:r>
              <w:rPr>
                <w:rFonts w:hint="default" w:ascii="Times New Roman" w:hAnsi="Times New Roman" w:eastAsia="宋体" w:cs="Times New Roman"/>
                <w:i w:val="0"/>
                <w:iCs w:val="0"/>
                <w:color w:val="auto"/>
                <w:kern w:val="0"/>
                <w:sz w:val="18"/>
                <w:szCs w:val="18"/>
                <w:u w:val="none"/>
                <w:lang w:val="en-US" w:eastAsia="zh-CN" w:bidi="ar"/>
              </w:rPr>
              <w:t>~</w:t>
            </w:r>
            <w:r>
              <w:rPr>
                <w:rFonts w:hint="eastAsia" w:cs="Times New Roman"/>
                <w:i w:val="0"/>
                <w:iCs w:val="0"/>
                <w:color w:val="auto"/>
                <w:kern w:val="0"/>
                <w:sz w:val="18"/>
                <w:szCs w:val="18"/>
                <w:u w:val="none"/>
                <w:lang w:val="en-US" w:eastAsia="zh-CN" w:bidi="ar"/>
              </w:rPr>
              <w:t xml:space="preserve"> </w:t>
            </w:r>
            <w:r>
              <w:rPr>
                <w:rFonts w:hint="default" w:ascii="Times New Roman" w:hAnsi="Times New Roman" w:eastAsia="宋体" w:cs="Times New Roman"/>
                <w:i w:val="0"/>
                <w:iCs w:val="0"/>
                <w:color w:val="auto"/>
                <w:kern w:val="0"/>
                <w:sz w:val="18"/>
                <w:szCs w:val="18"/>
                <w:u w:val="none"/>
                <w:lang w:val="en-US" w:eastAsia="zh-CN" w:bidi="ar"/>
              </w:rPr>
              <w:t>0.6143 kgce/m</w:t>
            </w:r>
            <w:r>
              <w:rPr>
                <w:rFonts w:hint="eastAsia" w:cs="Times New Roman"/>
                <w:i w:val="0"/>
                <w:iCs w:val="0"/>
                <w:color w:val="auto"/>
                <w:kern w:val="0"/>
                <w:sz w:val="18"/>
                <w:szCs w:val="18"/>
                <w:u w:val="none"/>
                <w:vertAlign w:val="superscript"/>
                <w:lang w:val="en-US" w:eastAsia="zh-CN" w:bidi="ar"/>
              </w:rPr>
              <w:t>3</w:t>
            </w:r>
          </w:p>
        </w:tc>
      </w:tr>
      <w:tr w14:paraId="53146AE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6E472DB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7</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39DAB0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高炉煤气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193CD36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ascii="Times New Roman" w:hAnsi="Times New Roman" w:eastAsia="宋体" w:cs="Times New Roman"/>
                <w:i w:val="0"/>
                <w:iCs w:val="0"/>
                <w:color w:val="auto"/>
                <w:kern w:val="0"/>
                <w:sz w:val="18"/>
                <w:szCs w:val="18"/>
                <w:u w:val="none"/>
                <w:lang w:val="en-US" w:eastAsia="zh-CN" w:bidi="ar"/>
              </w:rPr>
              <w:t>0.1286 kgce/m</w:t>
            </w:r>
            <w:r>
              <w:rPr>
                <w:rFonts w:hint="eastAsia" w:cs="Times New Roman"/>
                <w:i w:val="0"/>
                <w:iCs w:val="0"/>
                <w:color w:val="auto"/>
                <w:kern w:val="0"/>
                <w:sz w:val="18"/>
                <w:szCs w:val="18"/>
                <w:u w:val="none"/>
                <w:vertAlign w:val="superscript"/>
                <w:lang w:val="en-US" w:eastAsia="zh-CN" w:bidi="ar"/>
              </w:rPr>
              <w:t>3</w:t>
            </w:r>
          </w:p>
        </w:tc>
      </w:tr>
      <w:tr w14:paraId="6B99ABA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033A632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8</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37552D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发生炉煤气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71F8E36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ascii="Times New Roman" w:hAnsi="Times New Roman" w:eastAsia="宋体" w:cs="Times New Roman"/>
                <w:i w:val="0"/>
                <w:iCs w:val="0"/>
                <w:color w:val="auto"/>
                <w:kern w:val="0"/>
                <w:sz w:val="18"/>
                <w:szCs w:val="18"/>
                <w:u w:val="none"/>
                <w:lang w:val="en-US" w:eastAsia="zh-CN" w:bidi="ar"/>
              </w:rPr>
              <w:t>0.1786 kgce/m</w:t>
            </w:r>
            <w:r>
              <w:rPr>
                <w:rFonts w:hint="eastAsia" w:cs="Times New Roman"/>
                <w:i w:val="0"/>
                <w:iCs w:val="0"/>
                <w:color w:val="auto"/>
                <w:kern w:val="0"/>
                <w:sz w:val="18"/>
                <w:szCs w:val="18"/>
                <w:u w:val="none"/>
                <w:vertAlign w:val="superscript"/>
                <w:lang w:val="en-US" w:eastAsia="zh-CN" w:bidi="ar"/>
              </w:rPr>
              <w:t>3</w:t>
            </w:r>
          </w:p>
        </w:tc>
      </w:tr>
      <w:tr w14:paraId="3B11A62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5502649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w:t>
            </w:r>
            <w:r>
              <w:rPr>
                <w:rFonts w:hint="default" w:ascii="Times New Roman" w:hAnsi="Times New Roman" w:eastAsia="宋体" w:cs="Times New Roman"/>
                <w:i w:val="0"/>
                <w:iCs w:val="0"/>
                <w:color w:val="auto"/>
                <w:kern w:val="0"/>
                <w:sz w:val="18"/>
                <w:szCs w:val="18"/>
                <w:u w:val="none"/>
                <w:lang w:val="en-US" w:eastAsia="zh-CN" w:bidi="ar"/>
              </w:rPr>
              <w:t>9</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970527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重油催化裂解煤气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01C35C1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ascii="Times New Roman" w:hAnsi="Times New Roman" w:eastAsia="宋体" w:cs="Times New Roman"/>
                <w:i w:val="0"/>
                <w:iCs w:val="0"/>
                <w:color w:val="auto"/>
                <w:kern w:val="0"/>
                <w:sz w:val="18"/>
                <w:szCs w:val="18"/>
                <w:u w:val="none"/>
                <w:lang w:val="en-US" w:eastAsia="zh-CN" w:bidi="ar"/>
              </w:rPr>
              <w:t>0.6571 kgce/m</w:t>
            </w:r>
            <w:r>
              <w:rPr>
                <w:rFonts w:hint="eastAsia" w:cs="Times New Roman"/>
                <w:i w:val="0"/>
                <w:iCs w:val="0"/>
                <w:color w:val="auto"/>
                <w:kern w:val="0"/>
                <w:sz w:val="18"/>
                <w:szCs w:val="18"/>
                <w:u w:val="none"/>
                <w:vertAlign w:val="superscript"/>
                <w:lang w:val="en-US" w:eastAsia="zh-CN" w:bidi="ar"/>
              </w:rPr>
              <w:t>3</w:t>
            </w:r>
          </w:p>
        </w:tc>
      </w:tr>
      <w:tr w14:paraId="5FD7241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745816C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20</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35370C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重油热裂解煤气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0555F0F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ascii="Times New Roman" w:hAnsi="Times New Roman" w:eastAsia="宋体" w:cs="Times New Roman"/>
                <w:i w:val="0"/>
                <w:iCs w:val="0"/>
                <w:color w:val="auto"/>
                <w:kern w:val="0"/>
                <w:sz w:val="18"/>
                <w:szCs w:val="18"/>
                <w:u w:val="none"/>
                <w:lang w:val="en-US" w:eastAsia="zh-CN" w:bidi="ar"/>
              </w:rPr>
              <w:t>1.2143 kgce/m</w:t>
            </w:r>
            <w:r>
              <w:rPr>
                <w:rFonts w:hint="eastAsia" w:cs="Times New Roman"/>
                <w:i w:val="0"/>
                <w:iCs w:val="0"/>
                <w:color w:val="auto"/>
                <w:kern w:val="0"/>
                <w:sz w:val="18"/>
                <w:szCs w:val="18"/>
                <w:u w:val="none"/>
                <w:vertAlign w:val="superscript"/>
                <w:lang w:val="en-US" w:eastAsia="zh-CN" w:bidi="ar"/>
              </w:rPr>
              <w:t>3</w:t>
            </w:r>
          </w:p>
        </w:tc>
      </w:tr>
      <w:tr w14:paraId="783A7B3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632A7D9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21</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624E76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水煤气</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6A3AB4B3">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eastAsia" w:ascii="Times New Roman" w:hAnsi="Times New Roman" w:eastAsia="宋体" w:cs="Times New Roman"/>
                <w:i w:val="0"/>
                <w:iCs w:val="0"/>
                <w:color w:val="auto"/>
                <w:kern w:val="0"/>
                <w:sz w:val="18"/>
                <w:szCs w:val="18"/>
                <w:u w:val="none"/>
                <w:lang w:val="en-US" w:eastAsia="zh-CN" w:bidi="ar"/>
              </w:rPr>
              <w:t>1.4286 kgce/kg</w:t>
            </w:r>
          </w:p>
        </w:tc>
      </w:tr>
      <w:tr w14:paraId="43B82EC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676F21C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22</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104840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粗苯</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0EA46BB1">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eastAsia" w:ascii="Times New Roman" w:hAnsi="Times New Roman" w:eastAsia="宋体" w:cs="Times New Roman"/>
                <w:i w:val="0"/>
                <w:iCs w:val="0"/>
                <w:color w:val="auto"/>
                <w:kern w:val="0"/>
                <w:sz w:val="18"/>
                <w:szCs w:val="18"/>
                <w:u w:val="none"/>
                <w:lang w:val="en-US" w:eastAsia="zh-CN" w:bidi="ar"/>
              </w:rPr>
              <w:t>0.6794 kgce/kg</w:t>
            </w:r>
          </w:p>
        </w:tc>
      </w:tr>
      <w:tr w14:paraId="3DC175F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6DB026D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23</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BDACDD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甲醇（燃料）</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6B039F49">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cs="Times New Roman"/>
                <w:i w:val="0"/>
                <w:iCs w:val="0"/>
                <w:color w:val="auto"/>
                <w:kern w:val="0"/>
                <w:sz w:val="18"/>
                <w:szCs w:val="18"/>
                <w:u w:val="none"/>
                <w:lang w:val="en-US" w:eastAsia="zh-CN" w:bidi="ar"/>
              </w:rPr>
              <w:t>0.6794 kgce/kg</w:t>
            </w:r>
          </w:p>
        </w:tc>
      </w:tr>
      <w:tr w14:paraId="5F3EEFF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0A3F759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24</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A260625">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乙醇（燃料）</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22167DE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cs="Times New Roman"/>
                <w:i w:val="0"/>
                <w:iCs w:val="0"/>
                <w:color w:val="auto"/>
                <w:kern w:val="0"/>
                <w:sz w:val="18"/>
                <w:szCs w:val="18"/>
                <w:u w:val="none"/>
                <w:lang w:val="en-US" w:eastAsia="zh-CN" w:bidi="ar"/>
              </w:rPr>
              <w:t>0.9144 kgce/kg</w:t>
            </w:r>
          </w:p>
        </w:tc>
      </w:tr>
      <w:tr w14:paraId="1734BB0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4" w:space="0"/>
              <w:right w:val="single" w:color="000000" w:sz="4" w:space="0"/>
              <w:tl2br w:val="nil"/>
              <w:tr2bl w:val="nil"/>
            </w:tcBorders>
            <w:shd w:val="clear" w:color="auto" w:fill="auto"/>
            <w:vAlign w:val="center"/>
          </w:tcPr>
          <w:p w14:paraId="7F22364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25</w:t>
            </w:r>
          </w:p>
        </w:tc>
        <w:tc>
          <w:tcPr>
            <w:tcW w:w="1604"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0808E68">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电</w:t>
            </w:r>
            <w:r>
              <w:rPr>
                <w:rFonts w:hint="default" w:ascii="宋体" w:hAnsi="宋体" w:eastAsia="宋体" w:cs="宋体"/>
                <w:i w:val="0"/>
                <w:iCs w:val="0"/>
                <w:color w:val="auto"/>
                <w:kern w:val="0"/>
                <w:sz w:val="18"/>
                <w:szCs w:val="18"/>
                <w:u w:val="none"/>
                <w:lang w:val="en-US" w:eastAsia="zh-CN" w:bidi="ar"/>
              </w:rPr>
              <w:t>力</w:t>
            </w:r>
            <w:r>
              <w:rPr>
                <w:rFonts w:hint="eastAsia" w:ascii="宋体" w:hAnsi="宋体" w:cs="宋体"/>
                <w:i w:val="0"/>
                <w:iCs w:val="0"/>
                <w:color w:val="auto"/>
                <w:kern w:val="0"/>
                <w:sz w:val="18"/>
                <w:szCs w:val="18"/>
                <w:u w:val="none"/>
                <w:lang w:val="en-US" w:eastAsia="zh-CN" w:bidi="ar"/>
              </w:rPr>
              <w:t>（当量值）</w:t>
            </w:r>
          </w:p>
        </w:tc>
        <w:tc>
          <w:tcPr>
            <w:tcW w:w="2726" w:type="pct"/>
            <w:tcBorders>
              <w:top w:val="single" w:color="000000" w:sz="4" w:space="0"/>
              <w:left w:val="single" w:color="000000" w:sz="4" w:space="0"/>
              <w:bottom w:val="single" w:color="000000" w:sz="4" w:space="0"/>
              <w:tl2br w:val="nil"/>
              <w:tr2bl w:val="nil"/>
            </w:tcBorders>
            <w:shd w:val="clear" w:color="auto" w:fill="auto"/>
            <w:vAlign w:val="center"/>
          </w:tcPr>
          <w:p w14:paraId="2192C50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 xml:space="preserve">0.1229 </w:t>
            </w:r>
            <w:r>
              <w:rPr>
                <w:rFonts w:hint="default" w:ascii="Times New Roman" w:hAnsi="Times New Roman" w:cs="Times New Roman"/>
                <w:i w:val="0"/>
                <w:iCs w:val="0"/>
                <w:color w:val="auto"/>
                <w:kern w:val="0"/>
                <w:sz w:val="18"/>
                <w:szCs w:val="18"/>
                <w:u w:val="none"/>
                <w:lang w:val="en-US" w:eastAsia="zh-CN" w:bidi="ar"/>
              </w:rPr>
              <w:t>kgce/</w:t>
            </w:r>
            <w:r>
              <w:rPr>
                <w:rFonts w:hint="eastAsia" w:cs="Times New Roman"/>
                <w:i w:val="0"/>
                <w:iCs w:val="0"/>
                <w:color w:val="auto"/>
                <w:kern w:val="0"/>
                <w:sz w:val="18"/>
                <w:szCs w:val="18"/>
                <w:u w:val="none"/>
                <w:lang w:val="en-US" w:eastAsia="zh-CN" w:bidi="ar"/>
              </w:rPr>
              <w:t>（kW·h）</w:t>
            </w:r>
          </w:p>
        </w:tc>
      </w:tr>
      <w:tr w14:paraId="2E2BAC0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69" w:type="pct"/>
            <w:tcBorders>
              <w:top w:val="single" w:color="000000" w:sz="4" w:space="0"/>
              <w:bottom w:val="single" w:color="000000" w:sz="12" w:space="0"/>
              <w:right w:val="single" w:color="000000" w:sz="4" w:space="0"/>
            </w:tcBorders>
            <w:shd w:val="clear" w:color="auto" w:fill="auto"/>
            <w:vAlign w:val="center"/>
          </w:tcPr>
          <w:p w14:paraId="6FB67AE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26</w:t>
            </w:r>
          </w:p>
        </w:tc>
        <w:tc>
          <w:tcPr>
            <w:tcW w:w="1604" w:type="pct"/>
            <w:tcBorders>
              <w:top w:val="single" w:color="000000" w:sz="4" w:space="0"/>
              <w:left w:val="single" w:color="000000" w:sz="4" w:space="0"/>
              <w:bottom w:val="single" w:color="000000" w:sz="12" w:space="0"/>
              <w:right w:val="single" w:color="000000" w:sz="4" w:space="0"/>
            </w:tcBorders>
            <w:shd w:val="clear" w:color="auto" w:fill="auto"/>
            <w:vAlign w:val="center"/>
          </w:tcPr>
          <w:p w14:paraId="6181535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热力（当量值）</w:t>
            </w:r>
          </w:p>
        </w:tc>
        <w:tc>
          <w:tcPr>
            <w:tcW w:w="2726" w:type="pct"/>
            <w:tcBorders>
              <w:top w:val="single" w:color="000000" w:sz="4" w:space="0"/>
              <w:left w:val="single" w:color="000000" w:sz="4" w:space="0"/>
              <w:bottom w:val="single" w:color="000000" w:sz="12" w:space="0"/>
            </w:tcBorders>
            <w:shd w:val="clear" w:color="auto" w:fill="auto"/>
            <w:vAlign w:val="center"/>
          </w:tcPr>
          <w:p w14:paraId="03B4EC2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0.03412 kgce/MJ</w:t>
            </w:r>
          </w:p>
        </w:tc>
      </w:tr>
    </w:tbl>
    <w:p w14:paraId="43EFEABB">
      <w:pPr>
        <w:bidi w:val="0"/>
        <w:rPr>
          <w:rFonts w:hint="eastAsia"/>
          <w:color w:val="auto"/>
          <w:lang w:val="en-US" w:eastAsia="zh-CN"/>
        </w:rPr>
      </w:pPr>
    </w:p>
    <w:p w14:paraId="1C40960D">
      <w:pPr>
        <w:bidi w:val="0"/>
        <w:rPr>
          <w:rFonts w:hint="eastAsia"/>
          <w:color w:val="auto"/>
          <w:lang w:val="en-US" w:eastAsia="zh-CN"/>
        </w:rPr>
      </w:pPr>
    </w:p>
    <w:p w14:paraId="5E7DD0EA">
      <w:pPr>
        <w:bidi w:val="0"/>
        <w:rPr>
          <w:rFonts w:hint="eastAsia"/>
          <w:color w:val="auto"/>
          <w:lang w:val="en-US" w:eastAsia="zh-CN"/>
        </w:rPr>
      </w:pPr>
    </w:p>
    <w:p w14:paraId="43AA0B71">
      <w:pPr>
        <w:pStyle w:val="27"/>
        <w:rPr>
          <w:rFonts w:hint="eastAsia"/>
          <w:color w:val="auto"/>
          <w:lang w:val="en-US" w:eastAsia="zh-CN"/>
        </w:rPr>
        <w:sectPr>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p>
    <w:p w14:paraId="513A4FC4">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850" w:lineRule="exact"/>
        <w:jc w:val="center"/>
        <w:textAlignment w:val="auto"/>
        <w:outlineLvl w:val="0"/>
        <w:rPr>
          <w:rFonts w:hint="eastAsia" w:ascii="黑体" w:hAnsi="黑体" w:eastAsia="黑体" w:cs="黑体"/>
          <w:color w:val="auto"/>
          <w:sz w:val="21"/>
          <w:szCs w:val="21"/>
          <w:lang w:val="en-US" w:eastAsia="zh-CN" w:bidi="ar-SA"/>
        </w:rPr>
      </w:pPr>
    </w:p>
    <w:p w14:paraId="091E3CDA">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r>
        <w:rPr>
          <w:rFonts w:hint="eastAsia" w:ascii="黑体" w:hAnsi="黑体" w:eastAsia="黑体" w:cs="黑体"/>
          <w:color w:val="auto"/>
          <w:sz w:val="21"/>
          <w:szCs w:val="21"/>
          <w:lang w:val="en-US" w:eastAsia="zh-CN" w:bidi="ar-SA"/>
        </w:rPr>
        <w:t>附录</w:t>
      </w:r>
      <w:bookmarkEnd w:id="15"/>
      <w:r>
        <w:rPr>
          <w:rFonts w:hint="eastAsia" w:hAnsi="黑体" w:cs="黑体"/>
          <w:color w:val="auto"/>
          <w:sz w:val="21"/>
          <w:szCs w:val="21"/>
          <w:lang w:val="en-US" w:eastAsia="zh-CN" w:bidi="ar-SA"/>
        </w:rPr>
        <w:t>C</w:t>
      </w:r>
    </w:p>
    <w:p w14:paraId="7278A344">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bookmarkStart w:id="16" w:name="_Toc26597"/>
      <w:bookmarkStart w:id="17" w:name="_Toc14690"/>
      <w:r>
        <w:rPr>
          <w:rFonts w:hint="eastAsia" w:ascii="黑体" w:hAnsi="黑体" w:eastAsia="黑体" w:cs="黑体"/>
          <w:color w:val="auto"/>
          <w:sz w:val="21"/>
          <w:szCs w:val="21"/>
          <w:lang w:val="en-US" w:eastAsia="zh-CN" w:bidi="ar-SA"/>
        </w:rPr>
        <w:t>（资料性）</w:t>
      </w:r>
      <w:bookmarkEnd w:id="16"/>
      <w:bookmarkEnd w:id="17"/>
    </w:p>
    <w:p w14:paraId="7A401C38">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color w:val="auto"/>
          <w:sz w:val="21"/>
          <w:szCs w:val="21"/>
          <w:lang w:val="en-US" w:eastAsia="zh-CN" w:bidi="ar-SA"/>
        </w:rPr>
      </w:pPr>
      <w:r>
        <w:rPr>
          <w:rFonts w:hint="eastAsia" w:hAnsi="黑体" w:cs="黑体"/>
          <w:color w:val="auto"/>
          <w:sz w:val="21"/>
          <w:szCs w:val="21"/>
          <w:lang w:val="en-US" w:eastAsia="zh-CN" w:bidi="ar-SA"/>
        </w:rPr>
        <w:t>相关</w:t>
      </w:r>
      <w:r>
        <w:rPr>
          <w:rFonts w:hint="eastAsia" w:ascii="黑体" w:hAnsi="黑体" w:eastAsia="黑体" w:cs="黑体"/>
          <w:color w:val="auto"/>
          <w:sz w:val="21"/>
          <w:szCs w:val="21"/>
          <w:lang w:val="en-US" w:eastAsia="zh-CN" w:bidi="ar-SA"/>
        </w:rPr>
        <w:t>参数缺省值</w:t>
      </w:r>
    </w:p>
    <w:p w14:paraId="623486BB">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olor w:val="auto"/>
          <w:lang w:val="en-US" w:eastAsia="zh-CN"/>
        </w:rPr>
      </w:pPr>
    </w:p>
    <w:p w14:paraId="5974F311">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ascii="宋体" w:hAnsi="Times New Roman" w:eastAsia="宋体" w:cs="Times New Roman"/>
          <w:color w:val="auto"/>
          <w:sz w:val="21"/>
          <w:szCs w:val="22"/>
          <w:vertAlign w:val="baseline"/>
          <w:lang w:val="en-US" w:eastAsia="zh-CN" w:bidi="ar-SA"/>
        </w:rPr>
      </w:pPr>
      <w:bookmarkStart w:id="18" w:name="_Toc13957"/>
      <w:bookmarkStart w:id="19" w:name="_Toc23008"/>
      <w:r>
        <w:rPr>
          <w:rFonts w:hint="eastAsia" w:cs="Times New Roman"/>
          <w:color w:val="auto"/>
          <w:sz w:val="21"/>
          <w:szCs w:val="22"/>
          <w:vertAlign w:val="baseline"/>
          <w:lang w:val="en-US" w:eastAsia="zh-CN" w:bidi="ar-SA"/>
        </w:rPr>
        <w:t>相关参数缺省值</w:t>
      </w:r>
      <w:r>
        <w:rPr>
          <w:rFonts w:hint="eastAsia" w:ascii="宋体" w:hAnsi="Times New Roman" w:eastAsia="宋体" w:cs="Times New Roman"/>
          <w:color w:val="auto"/>
          <w:sz w:val="21"/>
          <w:szCs w:val="22"/>
          <w:vertAlign w:val="baseline"/>
          <w:lang w:val="en-US" w:eastAsia="zh-CN" w:bidi="ar-SA"/>
        </w:rPr>
        <w:t xml:space="preserve">见表 </w:t>
      </w:r>
      <w:r>
        <w:rPr>
          <w:rFonts w:hint="eastAsia" w:cs="Times New Roman"/>
          <w:color w:val="auto"/>
          <w:sz w:val="21"/>
          <w:szCs w:val="22"/>
          <w:vertAlign w:val="baseline"/>
          <w:lang w:val="en-US" w:eastAsia="zh-CN" w:bidi="ar-SA"/>
        </w:rPr>
        <w:t>C</w:t>
      </w:r>
      <w:r>
        <w:rPr>
          <w:rFonts w:hint="eastAsia" w:ascii="宋体" w:hAnsi="Times New Roman" w:eastAsia="宋体" w:cs="Times New Roman"/>
          <w:color w:val="auto"/>
          <w:sz w:val="21"/>
          <w:szCs w:val="22"/>
          <w:vertAlign w:val="baseline"/>
          <w:lang w:val="en-US" w:eastAsia="zh-CN" w:bidi="ar-SA"/>
        </w:rPr>
        <w:t xml:space="preserve">.1 </w:t>
      </w:r>
      <w:r>
        <w:rPr>
          <w:rFonts w:hint="default" w:ascii="Times New Roman" w:hAnsi="Times New Roman" w:eastAsia="宋体" w:cs="Times New Roman"/>
          <w:color w:val="auto"/>
          <w:sz w:val="21"/>
          <w:szCs w:val="22"/>
          <w:vertAlign w:val="baseline"/>
          <w:lang w:val="en-US" w:eastAsia="zh-CN" w:bidi="ar-SA"/>
        </w:rPr>
        <w:t>~</w:t>
      </w:r>
      <w:r>
        <w:rPr>
          <w:rFonts w:hint="eastAsia" w:ascii="宋体" w:hAnsi="Times New Roman" w:eastAsia="宋体" w:cs="Times New Roman"/>
          <w:color w:val="auto"/>
          <w:sz w:val="21"/>
          <w:szCs w:val="22"/>
          <w:vertAlign w:val="baseline"/>
          <w:lang w:val="en-US" w:eastAsia="zh-CN" w:bidi="ar-SA"/>
        </w:rPr>
        <w:t xml:space="preserve"> 表 C.</w:t>
      </w:r>
      <w:r>
        <w:rPr>
          <w:rFonts w:hint="eastAsia" w:cs="Times New Roman"/>
          <w:color w:val="auto"/>
          <w:sz w:val="21"/>
          <w:szCs w:val="22"/>
          <w:vertAlign w:val="baseline"/>
          <w:lang w:val="en-US" w:eastAsia="zh-CN" w:bidi="ar-SA"/>
        </w:rPr>
        <w:t>2</w:t>
      </w:r>
      <w:r>
        <w:rPr>
          <w:rFonts w:hint="eastAsia" w:ascii="宋体" w:hAnsi="Times New Roman" w:eastAsia="宋体" w:cs="Times New Roman"/>
          <w:color w:val="auto"/>
          <w:sz w:val="21"/>
          <w:szCs w:val="22"/>
          <w:vertAlign w:val="baseline"/>
          <w:lang w:val="en-US" w:eastAsia="zh-CN" w:bidi="ar-SA"/>
        </w:rPr>
        <w:t>。</w:t>
      </w:r>
    </w:p>
    <w:p w14:paraId="136CFDD1">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color w:val="auto"/>
          <w:lang w:val="en-US" w:eastAsia="zh-CN"/>
        </w:rPr>
      </w:pPr>
    </w:p>
    <w:p w14:paraId="47628825">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b w:val="0"/>
          <w:bCs w:val="0"/>
          <w:color w:val="auto"/>
          <w:sz w:val="21"/>
          <w:szCs w:val="21"/>
          <w:lang w:val="en-US" w:eastAsia="zh-CN" w:bidi="ar-SA"/>
        </w:rPr>
      </w:pPr>
      <w:bookmarkStart w:id="20" w:name="_Toc2131"/>
      <w:r>
        <w:rPr>
          <w:rFonts w:hint="eastAsia"/>
          <w:b w:val="0"/>
          <w:bCs w:val="0"/>
          <w:color w:val="auto"/>
          <w:szCs w:val="21"/>
          <w:lang w:val="en-US" w:eastAsia="zh-CN"/>
        </w:rPr>
        <w:t xml:space="preserve">表C.1  </w:t>
      </w:r>
      <w:bookmarkEnd w:id="18"/>
      <w:bookmarkEnd w:id="19"/>
      <w:bookmarkEnd w:id="20"/>
      <w:r>
        <w:rPr>
          <w:rFonts w:hint="eastAsia"/>
          <w:b w:val="0"/>
          <w:bCs w:val="0"/>
          <w:color w:val="auto"/>
          <w:szCs w:val="21"/>
          <w:lang w:val="en-US" w:eastAsia="zh-CN"/>
        </w:rPr>
        <w:t>常见化石燃料特性参数缺省值</w:t>
      </w:r>
    </w:p>
    <w:p w14:paraId="30361E66">
      <w:pPr>
        <w:pStyle w:val="27"/>
        <w:keepNext w:val="0"/>
        <w:keepLines w:val="0"/>
        <w:pageBreakBefore w:val="0"/>
        <w:widowControl/>
        <w:kinsoku/>
        <w:wordWrap/>
        <w:overflowPunct/>
        <w:topLinePunct w:val="0"/>
        <w:autoSpaceDE w:val="0"/>
        <w:autoSpaceDN w:val="0"/>
        <w:bidi w:val="0"/>
        <w:adjustRightInd/>
        <w:snapToGrid/>
        <w:spacing w:line="283" w:lineRule="exact"/>
        <w:ind w:left="0" w:leftChars="0" w:firstLine="420" w:firstLineChars="200"/>
        <w:textAlignment w:val="auto"/>
        <w:rPr>
          <w:rFonts w:hint="eastAsia" w:ascii="宋体" w:hAnsi="Times New Roman" w:eastAsia="宋体" w:cs="Times New Roman"/>
          <w:color w:val="auto"/>
          <w:vertAlign w:val="baseline"/>
          <w:lang w:val="en-US" w:eastAsia="zh-CN"/>
        </w:rPr>
      </w:pPr>
    </w:p>
    <w:tbl>
      <w:tblPr>
        <w:tblStyle w:val="11"/>
        <w:tblW w:w="4994"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9"/>
        <w:gridCol w:w="1673"/>
        <w:gridCol w:w="1799"/>
        <w:gridCol w:w="1799"/>
        <w:gridCol w:w="1799"/>
        <w:gridCol w:w="1800"/>
      </w:tblGrid>
      <w:tr w14:paraId="3624409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51" w:hRule="atLeast"/>
          <w:tblHeader/>
          <w:jc w:val="center"/>
        </w:trPr>
        <w:tc>
          <w:tcPr>
            <w:tcW w:w="2362" w:type="dxa"/>
            <w:gridSpan w:val="2"/>
            <w:tcBorders>
              <w:bottom w:val="single" w:color="auto" w:sz="12" w:space="0"/>
              <w:right w:val="single" w:color="000000" w:sz="4" w:space="0"/>
            </w:tcBorders>
            <w:shd w:val="clear" w:color="auto" w:fill="auto"/>
            <w:vAlign w:val="center"/>
          </w:tcPr>
          <w:p w14:paraId="544EFE5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eastAsia" w:cs="Times New Roman"/>
                <w:b w:val="0"/>
                <w:bCs w:val="0"/>
                <w:i w:val="0"/>
                <w:iCs w:val="0"/>
                <w:color w:val="auto"/>
                <w:kern w:val="0"/>
                <w:sz w:val="18"/>
                <w:szCs w:val="18"/>
                <w:u w:val="none"/>
                <w:lang w:val="en-US" w:eastAsia="zh-CN" w:bidi="ar"/>
              </w:rPr>
              <w:t>燃料品种</w:t>
            </w:r>
          </w:p>
        </w:tc>
        <w:tc>
          <w:tcPr>
            <w:tcW w:w="1799" w:type="dxa"/>
            <w:tcBorders>
              <w:left w:val="single" w:color="000000" w:sz="4" w:space="0"/>
              <w:bottom w:val="single" w:color="auto" w:sz="12" w:space="0"/>
              <w:right w:val="single" w:color="000000" w:sz="4" w:space="0"/>
            </w:tcBorders>
            <w:shd w:val="clear" w:color="auto" w:fill="auto"/>
            <w:vAlign w:val="center"/>
          </w:tcPr>
          <w:p w14:paraId="23608F3A">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sz w:val="18"/>
                <w:szCs w:val="18"/>
                <w:u w:val="none"/>
                <w:lang w:val="en-US" w:eastAsia="zh-CN"/>
              </w:rPr>
            </w:pPr>
            <w:r>
              <w:rPr>
                <w:rFonts w:hint="eastAsia" w:cs="Times New Roman"/>
                <w:b w:val="0"/>
                <w:bCs w:val="0"/>
                <w:i w:val="0"/>
                <w:iCs w:val="0"/>
                <w:color w:val="auto"/>
                <w:sz w:val="18"/>
                <w:szCs w:val="18"/>
                <w:u w:val="none"/>
                <w:lang w:val="en-US" w:eastAsia="zh-CN"/>
              </w:rPr>
              <w:t>计量单位</w:t>
            </w:r>
          </w:p>
        </w:tc>
        <w:tc>
          <w:tcPr>
            <w:tcW w:w="1799" w:type="dxa"/>
            <w:tcBorders>
              <w:left w:val="single" w:color="000000" w:sz="4" w:space="0"/>
              <w:bottom w:val="single" w:color="auto" w:sz="12" w:space="0"/>
            </w:tcBorders>
            <w:shd w:val="clear" w:color="auto" w:fill="auto"/>
            <w:vAlign w:val="center"/>
          </w:tcPr>
          <w:p w14:paraId="38214ABE">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低位发热量</w:t>
            </w:r>
          </w:p>
          <w:p w14:paraId="29F6186B">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eastAsia" w:cs="Times New Roman"/>
                <w:b w:val="0"/>
                <w:bCs w:val="0"/>
                <w:i w:val="0"/>
                <w:iCs w:val="0"/>
                <w:color w:val="auto"/>
                <w:kern w:val="0"/>
                <w:sz w:val="18"/>
                <w:szCs w:val="18"/>
                <w:u w:val="none"/>
                <w:lang w:val="en-US" w:eastAsia="zh-CN" w:bidi="ar"/>
              </w:rPr>
              <w:t>GJ</w:t>
            </w:r>
            <w:r>
              <w:rPr>
                <w:rFonts w:hint="default" w:ascii="Times New Roman" w:hAnsi="Times New Roman" w:eastAsia="宋体" w:cs="Times New Roman"/>
                <w:b w:val="0"/>
                <w:bCs w:val="0"/>
                <w:i w:val="0"/>
                <w:iCs w:val="0"/>
                <w:color w:val="auto"/>
                <w:kern w:val="0"/>
                <w:sz w:val="18"/>
                <w:szCs w:val="18"/>
                <w:u w:val="none"/>
                <w:lang w:val="en-US" w:eastAsia="zh-CN" w:bidi="ar"/>
              </w:rPr>
              <w:t>/t 或 GJ/</w:t>
            </w:r>
            <w:r>
              <w:rPr>
                <w:rFonts w:hint="eastAsia" w:cs="Times New Roman"/>
                <w:b w:val="0"/>
                <w:bCs w:val="0"/>
                <w:i w:val="0"/>
                <w:iCs w:val="0"/>
                <w:color w:val="auto"/>
                <w:kern w:val="0"/>
                <w:sz w:val="18"/>
                <w:szCs w:val="18"/>
                <w:u w:val="none"/>
                <w:lang w:val="en-US" w:eastAsia="zh-CN" w:bidi="ar"/>
              </w:rPr>
              <w:t>万</w:t>
            </w:r>
            <w:r>
              <w:rPr>
                <w:rFonts w:hint="default" w:ascii="Times New Roman" w:hAnsi="Times New Roman" w:eastAsia="宋体" w:cs="Times New Roman"/>
                <w:b w:val="0"/>
                <w:bCs w:val="0"/>
                <w:i w:val="0"/>
                <w:iCs w:val="0"/>
                <w:color w:val="auto"/>
                <w:kern w:val="0"/>
                <w:sz w:val="18"/>
                <w:szCs w:val="18"/>
                <w:u w:val="none"/>
                <w:lang w:val="en-US" w:eastAsia="zh-CN" w:bidi="ar"/>
              </w:rPr>
              <w:t>Nm</w:t>
            </w:r>
            <w:r>
              <w:rPr>
                <w:rFonts w:hint="eastAsia" w:cs="Times New Roman"/>
                <w:b w:val="0"/>
                <w:bCs w:val="0"/>
                <w:i w:val="0"/>
                <w:iCs w:val="0"/>
                <w:color w:val="auto"/>
                <w:kern w:val="0"/>
                <w:sz w:val="18"/>
                <w:szCs w:val="18"/>
                <w:u w:val="none"/>
                <w:vertAlign w:val="superscript"/>
                <w:lang w:val="en-US" w:eastAsia="zh-CN" w:bidi="ar"/>
              </w:rPr>
              <w:t>3</w:t>
            </w:r>
          </w:p>
        </w:tc>
        <w:tc>
          <w:tcPr>
            <w:tcW w:w="1799" w:type="dxa"/>
            <w:tcBorders>
              <w:left w:val="single" w:color="000000" w:sz="4" w:space="0"/>
              <w:bottom w:val="single" w:color="auto" w:sz="12" w:space="0"/>
            </w:tcBorders>
            <w:shd w:val="clear" w:color="auto" w:fill="auto"/>
            <w:vAlign w:val="center"/>
          </w:tcPr>
          <w:p w14:paraId="64931DE8">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单位热值含碳量</w:t>
            </w:r>
          </w:p>
          <w:p w14:paraId="119DDC6F">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tC/G</w:t>
            </w:r>
            <w:r>
              <w:rPr>
                <w:rFonts w:hint="eastAsia" w:cs="Times New Roman"/>
                <w:b w:val="0"/>
                <w:bCs w:val="0"/>
                <w:i w:val="0"/>
                <w:iCs w:val="0"/>
                <w:color w:val="auto"/>
                <w:kern w:val="0"/>
                <w:sz w:val="18"/>
                <w:szCs w:val="18"/>
                <w:u w:val="none"/>
                <w:lang w:val="en-US" w:eastAsia="zh-CN" w:bidi="ar"/>
              </w:rPr>
              <w:t>J</w:t>
            </w:r>
          </w:p>
        </w:tc>
        <w:tc>
          <w:tcPr>
            <w:tcW w:w="1800" w:type="dxa"/>
            <w:tcBorders>
              <w:left w:val="single" w:color="000000" w:sz="4" w:space="0"/>
              <w:bottom w:val="single" w:color="auto" w:sz="12" w:space="0"/>
            </w:tcBorders>
            <w:shd w:val="clear" w:color="auto" w:fill="auto"/>
            <w:vAlign w:val="center"/>
          </w:tcPr>
          <w:p w14:paraId="450EF359">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default" w:ascii="Times New Roman" w:hAnsi="Times New Roman" w:eastAsia="宋体" w:cs="Times New Roman"/>
                <w:b w:val="0"/>
                <w:bCs w:val="0"/>
                <w:i w:val="0"/>
                <w:iCs w:val="0"/>
                <w:color w:val="auto"/>
                <w:kern w:val="0"/>
                <w:sz w:val="18"/>
                <w:szCs w:val="18"/>
                <w:u w:val="none"/>
                <w:lang w:val="en-US" w:eastAsia="zh-CN" w:bidi="ar"/>
              </w:rPr>
              <w:t>燃料碳氧化率</w:t>
            </w:r>
          </w:p>
          <w:p w14:paraId="4A86C158">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eastAsia" w:cs="Times New Roman"/>
                <w:b w:val="0"/>
                <w:bCs w:val="0"/>
                <w:i w:val="0"/>
                <w:iCs w:val="0"/>
                <w:color w:val="auto"/>
                <w:kern w:val="0"/>
                <w:sz w:val="18"/>
                <w:szCs w:val="18"/>
                <w:u w:val="none"/>
                <w:lang w:val="en-US" w:eastAsia="zh-CN" w:bidi="ar"/>
              </w:rPr>
              <w:t>%</w:t>
            </w:r>
          </w:p>
        </w:tc>
      </w:tr>
      <w:tr w14:paraId="1E4CF76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restart"/>
            <w:tcBorders>
              <w:top w:val="single" w:color="auto" w:sz="12" w:space="0"/>
              <w:right w:val="single" w:color="000000" w:sz="4" w:space="0"/>
              <w:tl2br w:val="nil"/>
              <w:tr2bl w:val="nil"/>
            </w:tcBorders>
            <w:shd w:val="clear" w:color="auto" w:fill="auto"/>
            <w:vAlign w:val="center"/>
          </w:tcPr>
          <w:p w14:paraId="60A414F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固体燃料</w:t>
            </w:r>
          </w:p>
        </w:tc>
        <w:tc>
          <w:tcPr>
            <w:tcW w:w="1673" w:type="dxa"/>
            <w:tcBorders>
              <w:top w:val="single" w:color="auto" w:sz="12" w:space="0"/>
              <w:left w:val="single" w:color="000000" w:sz="4" w:space="0"/>
              <w:bottom w:val="single" w:color="000000" w:sz="4" w:space="0"/>
              <w:right w:val="single" w:color="000000" w:sz="4" w:space="0"/>
              <w:tl2br w:val="nil"/>
              <w:tr2bl w:val="nil"/>
            </w:tcBorders>
            <w:shd w:val="clear" w:color="auto" w:fill="auto"/>
            <w:vAlign w:val="center"/>
          </w:tcPr>
          <w:p w14:paraId="2E0059C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无烟煤</w:t>
            </w:r>
          </w:p>
        </w:tc>
        <w:tc>
          <w:tcPr>
            <w:tcW w:w="1799" w:type="dxa"/>
            <w:tcBorders>
              <w:top w:val="single" w:color="auto" w:sz="12" w:space="0"/>
              <w:left w:val="single" w:color="000000" w:sz="4" w:space="0"/>
              <w:bottom w:val="single" w:color="000000" w:sz="4" w:space="0"/>
              <w:right w:val="single" w:color="000000" w:sz="4" w:space="0"/>
              <w:tl2br w:val="nil"/>
              <w:tr2bl w:val="nil"/>
            </w:tcBorders>
            <w:shd w:val="clear" w:color="auto" w:fill="auto"/>
            <w:vAlign w:val="center"/>
          </w:tcPr>
          <w:p w14:paraId="1FC68FB3">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auto" w:sz="12" w:space="0"/>
              <w:left w:val="single" w:color="000000" w:sz="4" w:space="0"/>
              <w:bottom w:val="single" w:color="000000" w:sz="4" w:space="0"/>
              <w:tl2br w:val="nil"/>
              <w:tr2bl w:val="nil"/>
            </w:tcBorders>
            <w:shd w:val="clear" w:color="auto" w:fill="auto"/>
            <w:vAlign w:val="center"/>
          </w:tcPr>
          <w:p w14:paraId="56954C77">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26.7</w:t>
            </w:r>
          </w:p>
        </w:tc>
        <w:tc>
          <w:tcPr>
            <w:tcW w:w="1799" w:type="dxa"/>
            <w:tcBorders>
              <w:top w:val="single" w:color="auto" w:sz="12" w:space="0"/>
              <w:left w:val="single" w:color="000000" w:sz="4" w:space="0"/>
              <w:bottom w:val="single" w:color="000000" w:sz="4" w:space="0"/>
              <w:tl2br w:val="nil"/>
              <w:tr2bl w:val="nil"/>
            </w:tcBorders>
            <w:shd w:val="clear" w:color="auto" w:fill="auto"/>
            <w:vAlign w:val="center"/>
          </w:tcPr>
          <w:p w14:paraId="5868CC35">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27.4×10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auto" w:sz="12" w:space="0"/>
              <w:left w:val="single" w:color="000000" w:sz="4" w:space="0"/>
              <w:bottom w:val="single" w:color="000000" w:sz="4" w:space="0"/>
              <w:tl2br w:val="nil"/>
              <w:tr2bl w:val="nil"/>
            </w:tcBorders>
            <w:shd w:val="clear" w:color="auto" w:fill="auto"/>
            <w:vAlign w:val="center"/>
          </w:tcPr>
          <w:p w14:paraId="14E72A5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94</w:t>
            </w:r>
          </w:p>
        </w:tc>
      </w:tr>
      <w:tr w14:paraId="72C05D1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604CDD4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F17844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烟煤</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F272AC8">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DEF4E89">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19.570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3E9F2C24">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26.1×10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067949E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93</w:t>
            </w:r>
          </w:p>
        </w:tc>
      </w:tr>
      <w:tr w14:paraId="380B588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797B163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F63C0A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褐煤</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C240A9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149B26C0">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11.9</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7505848D">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28×10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3A51CA3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96</w:t>
            </w:r>
          </w:p>
        </w:tc>
      </w:tr>
      <w:tr w14:paraId="390D8DB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54DBD3A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86BD56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洗精煤</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E0294D0">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1F43BCAE">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26.334</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79E71FFA">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25.41×10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5F7FAA2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90</w:t>
            </w:r>
          </w:p>
        </w:tc>
      </w:tr>
      <w:tr w14:paraId="40569B1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045250F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70C946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其他洗煤</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C030946">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DDA8F1F">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12.545</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5716E1C9">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25.41×10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42C50D3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90</w:t>
            </w:r>
          </w:p>
        </w:tc>
      </w:tr>
      <w:tr w14:paraId="1D3A4BE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2B7A79B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860E3C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型煤</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418FA270">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0A74C4F">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17.460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2ACBD39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33.6×10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45BE002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90</w:t>
            </w:r>
          </w:p>
        </w:tc>
      </w:tr>
      <w:tr w14:paraId="113D254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2BE1936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45885F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其他煤制品</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926E938">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715B527D">
            <w:pPr>
              <w:keepNext w:val="0"/>
              <w:keepLines w:val="0"/>
              <w:widowControl/>
              <w:suppressLineNumbers w:val="0"/>
              <w:jc w:val="center"/>
              <w:textAlignment w:val="center"/>
              <w:rPr>
                <w:rFonts w:hint="eastAsia"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17.460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3AB44EAF">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33.6×10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055571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57B9AD9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480A7FE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95BB96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焦炭</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715F4FE">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F13856D">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28.435</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23392E2B">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29.5×10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70F3714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93</w:t>
            </w:r>
          </w:p>
        </w:tc>
      </w:tr>
      <w:tr w14:paraId="13AB536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bottom w:val="single" w:color="000000" w:sz="4" w:space="0"/>
              <w:right w:val="single" w:color="000000" w:sz="4" w:space="0"/>
              <w:tl2br w:val="nil"/>
              <w:tr2bl w:val="nil"/>
            </w:tcBorders>
            <w:shd w:val="clear" w:color="auto" w:fill="auto"/>
            <w:vAlign w:val="center"/>
          </w:tcPr>
          <w:p w14:paraId="096495F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502FDD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石油焦</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8FF790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1763AF5">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32.5</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19ED605D">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27.5×10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4D63DE79">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7843366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restart"/>
            <w:tcBorders>
              <w:top w:val="single" w:color="000000" w:sz="4" w:space="0"/>
              <w:right w:val="single" w:color="000000" w:sz="4" w:space="0"/>
              <w:tl2br w:val="nil"/>
              <w:tr2bl w:val="nil"/>
            </w:tcBorders>
            <w:shd w:val="clear" w:color="auto" w:fill="auto"/>
            <w:vAlign w:val="center"/>
          </w:tcPr>
          <w:p w14:paraId="3B16F6A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液体燃料</w:t>
            </w: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F5C6DD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原油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A8C8EB7">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1647FFE">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41.816</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292D2B0C">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20.1×10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16576ECB">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706BDDB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5FD9AF5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440D2D7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燃料油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717FB16">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143B134">
            <w:pPr>
              <w:keepNext w:val="0"/>
              <w:keepLines w:val="0"/>
              <w:widowControl/>
              <w:suppressLineNumbers w:val="0"/>
              <w:jc w:val="center"/>
              <w:textAlignment w:val="center"/>
              <w:rPr>
                <w:rFonts w:hint="eastAsia"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41.816</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71E97F4B">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21.1×10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1E0A2DCD">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75D8423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40FDD9B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D3F1ED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汽油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CB0CCD7">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32DE0545">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43.070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B2D9238">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18.9×10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F5B349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4D04CE8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009EBE6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520810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柴油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9FEEA80">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CFC5254">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42.652</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0F73A37C">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20.2×10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19C126D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607D2FC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621C79E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5EC0559">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一般煤油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B003B45">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2977DE13">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43.070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0A24AC6E">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19.6×10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75C85A9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300165C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2D15FDB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7EE5A4F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液化天然气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79B1360">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2AA8C67">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51.498</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555D277B">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15.3×10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5AA922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1411E4B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2698263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94711A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液化石油气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9BDA2BA">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17F399ED">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50.179</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3BF6CC09">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17.2×10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427D0B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2CA9F66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24B2090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69C9A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石脑油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75EBADC">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2BF33361">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44.5</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7C31286A">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20.0×10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5C9D24B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0118EDB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5E9EECB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16ACDB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焦油</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8B7294E">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0D08FD91">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33.453</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98843A9">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22.0×10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09BE258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28D924F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32454D2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3E7DDC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粗苯</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997A6BA">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33709BBD">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41.816</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D88A309">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22.7×10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589AC9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762C757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689" w:type="dxa"/>
            <w:vMerge w:val="continue"/>
            <w:tcBorders>
              <w:bottom w:val="single" w:color="000000" w:sz="4" w:space="0"/>
              <w:right w:val="single" w:color="000000" w:sz="4" w:space="0"/>
              <w:tl2br w:val="nil"/>
              <w:tr2bl w:val="nil"/>
            </w:tcBorders>
            <w:shd w:val="clear" w:color="auto" w:fill="auto"/>
            <w:vAlign w:val="center"/>
          </w:tcPr>
          <w:p w14:paraId="6C5E9CE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5C00C4F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其他石油制品</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3B8E1426">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0EC01FE4">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41.031</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11B24F27">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20.0×10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3004FF3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98</w:t>
            </w:r>
          </w:p>
        </w:tc>
      </w:tr>
      <w:tr w14:paraId="52BEDEF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restart"/>
            <w:tcBorders>
              <w:top w:val="single" w:color="000000" w:sz="4" w:space="0"/>
              <w:right w:val="single" w:color="000000" w:sz="4" w:space="0"/>
              <w:tl2br w:val="nil"/>
              <w:tr2bl w:val="nil"/>
            </w:tcBorders>
            <w:shd w:val="clear" w:color="auto" w:fill="auto"/>
            <w:vAlign w:val="center"/>
          </w:tcPr>
          <w:p w14:paraId="3939395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气体燃料</w:t>
            </w: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40149E5E">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天然气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7C791E7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万</w:t>
            </w:r>
            <w:r>
              <w:rPr>
                <w:rFonts w:hint="default" w:cs="Times New Roman"/>
                <w:i w:val="0"/>
                <w:iCs w:val="0"/>
                <w:color w:val="auto"/>
                <w:kern w:val="0"/>
                <w:sz w:val="18"/>
                <w:szCs w:val="18"/>
                <w:u w:val="none"/>
                <w:lang w:val="en-US" w:eastAsia="zh-CN" w:bidi="ar"/>
              </w:rPr>
              <w:t>Nm</w:t>
            </w:r>
            <w:r>
              <w:rPr>
                <w:rFonts w:hint="eastAsia" w:cs="Times New Roman"/>
                <w:i w:val="0"/>
                <w:iCs w:val="0"/>
                <w:color w:val="auto"/>
                <w:kern w:val="0"/>
                <w:sz w:val="18"/>
                <w:szCs w:val="18"/>
                <w:u w:val="none"/>
                <w:vertAlign w:val="superscript"/>
                <w:lang w:val="en-US" w:eastAsia="zh-CN" w:bidi="ar"/>
              </w:rPr>
              <w:t>3</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F8D8C28">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389.31</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3CF18E93">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15.3×10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340A8C6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99</w:t>
            </w:r>
          </w:p>
        </w:tc>
      </w:tr>
      <w:tr w14:paraId="3529528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3C3212B5">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7204ACF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高炉煤气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042129EF">
            <w:pPr>
              <w:keepNext w:val="0"/>
              <w:keepLines w:val="0"/>
              <w:widowControl/>
              <w:suppressLineNumbers w:val="0"/>
              <w:jc w:val="center"/>
              <w:textAlignment w:val="center"/>
              <w:rPr>
                <w:rFonts w:hint="eastAsia"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万</w:t>
            </w:r>
            <w:r>
              <w:rPr>
                <w:rFonts w:hint="default" w:cs="Times New Roman"/>
                <w:i w:val="0"/>
                <w:iCs w:val="0"/>
                <w:color w:val="auto"/>
                <w:kern w:val="0"/>
                <w:sz w:val="18"/>
                <w:szCs w:val="18"/>
                <w:u w:val="none"/>
                <w:lang w:val="en-US" w:eastAsia="zh-CN" w:bidi="ar"/>
              </w:rPr>
              <w:t>Nm</w:t>
            </w:r>
            <w:r>
              <w:rPr>
                <w:rFonts w:hint="eastAsia" w:cs="Times New Roman"/>
                <w:i w:val="0"/>
                <w:iCs w:val="0"/>
                <w:color w:val="auto"/>
                <w:kern w:val="0"/>
                <w:sz w:val="18"/>
                <w:szCs w:val="18"/>
                <w:u w:val="none"/>
                <w:vertAlign w:val="superscript"/>
                <w:lang w:val="en-US" w:eastAsia="zh-CN" w:bidi="ar"/>
              </w:rPr>
              <w:t>3</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57578AFA">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33.00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2EC5A6F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70.80×10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1439BE62">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99</w:t>
            </w:r>
          </w:p>
        </w:tc>
      </w:tr>
      <w:tr w14:paraId="4DCA66B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1E4F4DA4">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63B8E7A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转炉煤气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707B66AA">
            <w:pPr>
              <w:keepNext w:val="0"/>
              <w:keepLines w:val="0"/>
              <w:widowControl/>
              <w:suppressLineNumbers w:val="0"/>
              <w:jc w:val="center"/>
              <w:textAlignment w:val="center"/>
              <w:rPr>
                <w:rFonts w:hint="eastAsia"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万</w:t>
            </w:r>
            <w:r>
              <w:rPr>
                <w:rFonts w:hint="default" w:cs="Times New Roman"/>
                <w:i w:val="0"/>
                <w:iCs w:val="0"/>
                <w:color w:val="auto"/>
                <w:kern w:val="0"/>
                <w:sz w:val="18"/>
                <w:szCs w:val="18"/>
                <w:u w:val="none"/>
                <w:lang w:val="en-US" w:eastAsia="zh-CN" w:bidi="ar"/>
              </w:rPr>
              <w:t>Nm</w:t>
            </w:r>
            <w:r>
              <w:rPr>
                <w:rFonts w:hint="eastAsia" w:cs="Times New Roman"/>
                <w:i w:val="0"/>
                <w:iCs w:val="0"/>
                <w:color w:val="auto"/>
                <w:kern w:val="0"/>
                <w:sz w:val="18"/>
                <w:szCs w:val="18"/>
                <w:u w:val="none"/>
                <w:vertAlign w:val="superscript"/>
                <w:lang w:val="en-US" w:eastAsia="zh-CN" w:bidi="ar"/>
              </w:rPr>
              <w:t>3</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C35DFB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84.00</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6C48EE0B">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49.60×10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77BDB37">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99</w:t>
            </w:r>
          </w:p>
        </w:tc>
      </w:tr>
      <w:tr w14:paraId="38E794B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7E97852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2BE3F30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焦炉煤气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B9D8419">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万</w:t>
            </w:r>
            <w:r>
              <w:rPr>
                <w:rFonts w:hint="default" w:cs="Times New Roman"/>
                <w:i w:val="0"/>
                <w:iCs w:val="0"/>
                <w:color w:val="auto"/>
                <w:kern w:val="0"/>
                <w:sz w:val="18"/>
                <w:szCs w:val="18"/>
                <w:u w:val="none"/>
                <w:lang w:val="en-US" w:eastAsia="zh-CN" w:bidi="ar"/>
              </w:rPr>
              <w:t>Nm</w:t>
            </w:r>
            <w:r>
              <w:rPr>
                <w:rFonts w:hint="eastAsia" w:cs="Times New Roman"/>
                <w:i w:val="0"/>
                <w:iCs w:val="0"/>
                <w:color w:val="auto"/>
                <w:kern w:val="0"/>
                <w:sz w:val="18"/>
                <w:szCs w:val="18"/>
                <w:u w:val="none"/>
                <w:vertAlign w:val="superscript"/>
                <w:lang w:val="en-US" w:eastAsia="zh-CN" w:bidi="ar"/>
              </w:rPr>
              <w:t>3</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0BD9B9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179.81</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0FA98751">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13.58×10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66E53821">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99</w:t>
            </w:r>
          </w:p>
        </w:tc>
      </w:tr>
      <w:tr w14:paraId="7996CE8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right w:val="single" w:color="000000" w:sz="4" w:space="0"/>
              <w:tl2br w:val="nil"/>
              <w:tr2bl w:val="nil"/>
            </w:tcBorders>
            <w:shd w:val="clear" w:color="auto" w:fill="auto"/>
            <w:vAlign w:val="center"/>
          </w:tcPr>
          <w:p w14:paraId="3172A2C6">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164F3CEC">
            <w:pPr>
              <w:keepNext w:val="0"/>
              <w:keepLines w:val="0"/>
              <w:widowControl/>
              <w:suppressLineNumbers w:val="0"/>
              <w:jc w:val="center"/>
              <w:textAlignment w:val="center"/>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炼厂干气</w:t>
            </w:r>
          </w:p>
        </w:tc>
        <w:tc>
          <w:tcPr>
            <w:tcW w:w="1799" w:type="dxa"/>
            <w:tcBorders>
              <w:top w:val="single" w:color="000000" w:sz="4" w:space="0"/>
              <w:left w:val="single" w:color="000000" w:sz="4" w:space="0"/>
              <w:bottom w:val="single" w:color="000000" w:sz="4" w:space="0"/>
              <w:right w:val="single" w:color="000000" w:sz="4" w:space="0"/>
              <w:tl2br w:val="nil"/>
              <w:tr2bl w:val="nil"/>
            </w:tcBorders>
            <w:shd w:val="clear" w:color="auto" w:fill="auto"/>
            <w:vAlign w:val="center"/>
          </w:tcPr>
          <w:p w14:paraId="4F83FCD6">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5753BC72">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45.998</w:t>
            </w:r>
          </w:p>
        </w:tc>
        <w:tc>
          <w:tcPr>
            <w:tcW w:w="1799" w:type="dxa"/>
            <w:tcBorders>
              <w:top w:val="single" w:color="000000" w:sz="4" w:space="0"/>
              <w:left w:val="single" w:color="000000" w:sz="4" w:space="0"/>
              <w:bottom w:val="single" w:color="000000" w:sz="4" w:space="0"/>
              <w:tl2br w:val="nil"/>
              <w:tr2bl w:val="nil"/>
            </w:tcBorders>
            <w:shd w:val="clear" w:color="auto" w:fill="auto"/>
            <w:vAlign w:val="center"/>
          </w:tcPr>
          <w:p w14:paraId="469A9546">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18.2×10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4" w:space="0"/>
              <w:tl2br w:val="nil"/>
              <w:tr2bl w:val="nil"/>
            </w:tcBorders>
            <w:shd w:val="clear" w:color="auto" w:fill="auto"/>
            <w:vAlign w:val="center"/>
          </w:tcPr>
          <w:p w14:paraId="5ADD7568">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99</w:t>
            </w:r>
          </w:p>
        </w:tc>
      </w:tr>
      <w:tr w14:paraId="1AEB860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689" w:type="dxa"/>
            <w:vMerge w:val="continue"/>
            <w:tcBorders>
              <w:bottom w:val="single" w:color="000000" w:sz="12" w:space="0"/>
              <w:right w:val="single" w:color="000000" w:sz="4" w:space="0"/>
            </w:tcBorders>
            <w:shd w:val="clear" w:color="auto" w:fill="auto"/>
            <w:vAlign w:val="center"/>
          </w:tcPr>
          <w:p w14:paraId="78C843E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p>
        </w:tc>
        <w:tc>
          <w:tcPr>
            <w:tcW w:w="1673"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04A950E0">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t>其他煤气</w:t>
            </w:r>
          </w:p>
        </w:tc>
        <w:tc>
          <w:tcPr>
            <w:tcW w:w="1799" w:type="dxa"/>
            <w:tcBorders>
              <w:top w:val="single" w:color="000000" w:sz="4" w:space="0"/>
              <w:left w:val="single" w:color="000000" w:sz="4" w:space="0"/>
              <w:bottom w:val="single" w:color="000000" w:sz="12" w:space="0"/>
              <w:right w:val="single" w:color="000000" w:sz="4" w:space="0"/>
            </w:tcBorders>
            <w:shd w:val="clear" w:color="auto" w:fill="auto"/>
            <w:vAlign w:val="center"/>
          </w:tcPr>
          <w:p w14:paraId="3AAC9826">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万</w:t>
            </w:r>
            <w:r>
              <w:rPr>
                <w:rFonts w:hint="default" w:cs="Times New Roman"/>
                <w:i w:val="0"/>
                <w:iCs w:val="0"/>
                <w:color w:val="auto"/>
                <w:kern w:val="0"/>
                <w:sz w:val="18"/>
                <w:szCs w:val="18"/>
                <w:u w:val="none"/>
                <w:lang w:val="en-US" w:eastAsia="zh-CN" w:bidi="ar"/>
              </w:rPr>
              <w:t>Nm</w:t>
            </w:r>
            <w:r>
              <w:rPr>
                <w:rFonts w:hint="eastAsia" w:cs="Times New Roman"/>
                <w:i w:val="0"/>
                <w:iCs w:val="0"/>
                <w:color w:val="auto"/>
                <w:kern w:val="0"/>
                <w:sz w:val="18"/>
                <w:szCs w:val="18"/>
                <w:u w:val="none"/>
                <w:vertAlign w:val="superscript"/>
                <w:lang w:val="en-US" w:eastAsia="zh-CN" w:bidi="ar"/>
              </w:rPr>
              <w:t>3</w:t>
            </w:r>
          </w:p>
        </w:tc>
        <w:tc>
          <w:tcPr>
            <w:tcW w:w="1799" w:type="dxa"/>
            <w:tcBorders>
              <w:top w:val="single" w:color="000000" w:sz="4" w:space="0"/>
              <w:left w:val="single" w:color="000000" w:sz="4" w:space="0"/>
              <w:bottom w:val="single" w:color="000000" w:sz="12" w:space="0"/>
            </w:tcBorders>
            <w:shd w:val="clear" w:color="auto" w:fill="auto"/>
            <w:vAlign w:val="center"/>
          </w:tcPr>
          <w:p w14:paraId="35A073A8">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52.270</w:t>
            </w:r>
          </w:p>
        </w:tc>
        <w:tc>
          <w:tcPr>
            <w:tcW w:w="1799" w:type="dxa"/>
            <w:tcBorders>
              <w:top w:val="single" w:color="000000" w:sz="4" w:space="0"/>
              <w:left w:val="single" w:color="000000" w:sz="4" w:space="0"/>
              <w:bottom w:val="single" w:color="000000" w:sz="12" w:space="0"/>
            </w:tcBorders>
            <w:shd w:val="clear" w:color="auto" w:fill="auto"/>
            <w:vAlign w:val="center"/>
          </w:tcPr>
          <w:p w14:paraId="4366EE1A">
            <w:pPr>
              <w:keepNext w:val="0"/>
              <w:keepLines w:val="0"/>
              <w:widowControl/>
              <w:suppressLineNumbers w:val="0"/>
              <w:jc w:val="center"/>
              <w:textAlignment w:val="center"/>
              <w:rPr>
                <w:rFonts w:hint="default"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12.2×10</w:t>
            </w:r>
            <w:r>
              <w:rPr>
                <w:rFonts w:hint="eastAsia" w:cs="Times New Roman"/>
                <w:i w:val="0"/>
                <w:iCs w:val="0"/>
                <w:color w:val="auto"/>
                <w:kern w:val="0"/>
                <w:sz w:val="18"/>
                <w:szCs w:val="18"/>
                <w:u w:val="none"/>
                <w:vertAlign w:val="superscript"/>
                <w:lang w:val="en-US" w:eastAsia="zh-CN" w:bidi="ar"/>
              </w:rPr>
              <w:t>-3</w:t>
            </w:r>
          </w:p>
        </w:tc>
        <w:tc>
          <w:tcPr>
            <w:tcW w:w="1800" w:type="dxa"/>
            <w:tcBorders>
              <w:top w:val="single" w:color="000000" w:sz="4" w:space="0"/>
              <w:left w:val="single" w:color="000000" w:sz="4" w:space="0"/>
              <w:bottom w:val="single" w:color="000000" w:sz="12" w:space="0"/>
            </w:tcBorders>
            <w:shd w:val="clear" w:color="auto" w:fill="auto"/>
            <w:vAlign w:val="center"/>
          </w:tcPr>
          <w:p w14:paraId="4229589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99</w:t>
            </w:r>
          </w:p>
        </w:tc>
      </w:tr>
    </w:tbl>
    <w:p w14:paraId="151F428F">
      <w:pPr>
        <w:rPr>
          <w:rFonts w:hint="eastAsia" w:ascii="宋体" w:hAnsi="Times New Roman" w:eastAsia="宋体" w:cs="Times New Roman"/>
          <w:b/>
          <w:bCs/>
          <w:color w:val="auto"/>
          <w:kern w:val="0"/>
          <w:sz w:val="21"/>
          <w:szCs w:val="21"/>
          <w:lang w:val="en-US" w:eastAsia="zh-CN" w:bidi="ar-SA"/>
        </w:rPr>
        <w:sectPr>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pPr>
    </w:p>
    <w:p w14:paraId="45A1E469">
      <w:pPr>
        <w:pStyle w:val="27"/>
        <w:keepNext w:val="0"/>
        <w:keepLines w:val="0"/>
        <w:pageBreakBefore w:val="0"/>
        <w:widowControl/>
        <w:tabs>
          <w:tab w:val="left" w:pos="3579"/>
          <w:tab w:val="clear" w:pos="4201"/>
        </w:tabs>
        <w:kinsoku/>
        <w:wordWrap/>
        <w:overflowPunct/>
        <w:topLinePunct w:val="0"/>
        <w:autoSpaceDE w:val="0"/>
        <w:autoSpaceDN w:val="0"/>
        <w:bidi w:val="0"/>
        <w:adjustRightInd/>
        <w:snapToGrid/>
        <w:spacing w:line="283" w:lineRule="exact"/>
        <w:textAlignment w:val="auto"/>
        <w:rPr>
          <w:rFonts w:hint="eastAsia"/>
          <w:color w:val="auto"/>
          <w:lang w:val="en-US" w:eastAsia="zh-CN"/>
        </w:rPr>
      </w:pPr>
      <w:r>
        <w:rPr>
          <w:rFonts w:hint="eastAsia"/>
          <w:color w:val="auto"/>
          <w:lang w:val="en-US" w:eastAsia="zh-CN"/>
        </w:rPr>
        <w:tab/>
      </w:r>
    </w:p>
    <w:p w14:paraId="0188B945">
      <w:pPr>
        <w:pStyle w:val="39"/>
        <w:keepNext w:val="0"/>
        <w:keepLines w:val="0"/>
        <w:pageBreakBefore w:val="0"/>
        <w:widowControl/>
        <w:numPr>
          <w:ilvl w:val="0"/>
          <w:numId w:val="0"/>
        </w:numPr>
        <w:kinsoku/>
        <w:wordWrap/>
        <w:overflowPunct/>
        <w:topLinePunct w:val="0"/>
        <w:autoSpaceDE/>
        <w:autoSpaceDN/>
        <w:bidi w:val="0"/>
        <w:adjustRightInd/>
        <w:snapToGrid/>
        <w:spacing w:beforeLines="0" w:afterLines="0" w:line="240" w:lineRule="auto"/>
        <w:jc w:val="center"/>
        <w:textAlignment w:val="auto"/>
        <w:outlineLvl w:val="0"/>
        <w:rPr>
          <w:rFonts w:hint="eastAsia" w:ascii="黑体" w:hAnsi="黑体" w:eastAsia="黑体" w:cs="黑体"/>
          <w:b w:val="0"/>
          <w:bCs w:val="0"/>
          <w:color w:val="auto"/>
          <w:sz w:val="21"/>
          <w:szCs w:val="21"/>
          <w:lang w:val="en-US" w:eastAsia="zh-CN" w:bidi="ar-SA"/>
        </w:rPr>
      </w:pPr>
      <w:r>
        <w:rPr>
          <w:rFonts w:hint="eastAsia"/>
          <w:b w:val="0"/>
          <w:bCs w:val="0"/>
          <w:color w:val="auto"/>
          <w:szCs w:val="21"/>
          <w:lang w:val="en-US" w:eastAsia="zh-CN"/>
        </w:rPr>
        <w:t>表C.2  其他排放因子缺省值</w:t>
      </w:r>
    </w:p>
    <w:p w14:paraId="31BAFF19">
      <w:pPr>
        <w:pStyle w:val="27"/>
        <w:keepNext w:val="0"/>
        <w:keepLines w:val="0"/>
        <w:pageBreakBefore w:val="0"/>
        <w:widowControl/>
        <w:kinsoku/>
        <w:wordWrap/>
        <w:overflowPunct/>
        <w:topLinePunct w:val="0"/>
        <w:autoSpaceDE w:val="0"/>
        <w:autoSpaceDN w:val="0"/>
        <w:bidi w:val="0"/>
        <w:adjustRightInd/>
        <w:snapToGrid/>
        <w:spacing w:line="283" w:lineRule="exact"/>
        <w:textAlignment w:val="auto"/>
        <w:rPr>
          <w:rFonts w:hint="eastAsia" w:ascii="宋体" w:hAnsi="Times New Roman" w:eastAsia="宋体" w:cs="Times New Roman"/>
          <w:color w:val="auto"/>
          <w:vertAlign w:val="baseline"/>
          <w:lang w:val="en-US" w:eastAsia="zh-CN"/>
        </w:rPr>
      </w:pPr>
    </w:p>
    <w:tbl>
      <w:tblPr>
        <w:tblStyle w:val="11"/>
        <w:tblW w:w="5000" w:type="pct"/>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187"/>
        <w:gridCol w:w="2"/>
        <w:gridCol w:w="3187"/>
        <w:gridCol w:w="2"/>
        <w:gridCol w:w="3192"/>
      </w:tblGrid>
      <w:tr w14:paraId="5ED3EEA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451" w:hRule="atLeast"/>
          <w:tblHeader/>
          <w:jc w:val="center"/>
        </w:trPr>
        <w:tc>
          <w:tcPr>
            <w:tcW w:w="1665" w:type="pct"/>
            <w:tcBorders>
              <w:bottom w:val="single" w:color="auto" w:sz="12" w:space="0"/>
              <w:right w:val="single" w:color="000000" w:sz="4" w:space="0"/>
            </w:tcBorders>
            <w:shd w:val="clear" w:color="auto" w:fill="auto"/>
            <w:vAlign w:val="center"/>
          </w:tcPr>
          <w:p w14:paraId="325C4052">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u w:val="none"/>
                <w:lang w:val="en-US" w:eastAsia="zh-CN" w:bidi="ar"/>
              </w:rPr>
            </w:pPr>
            <w:r>
              <w:rPr>
                <w:rFonts w:hint="eastAsia" w:cs="Times New Roman"/>
                <w:b w:val="0"/>
                <w:bCs w:val="0"/>
                <w:i w:val="0"/>
                <w:iCs w:val="0"/>
                <w:color w:val="auto"/>
                <w:kern w:val="0"/>
                <w:sz w:val="18"/>
                <w:szCs w:val="18"/>
                <w:u w:val="none"/>
                <w:lang w:val="en-US" w:eastAsia="zh-CN" w:bidi="ar"/>
              </w:rPr>
              <w:t>参数名称</w:t>
            </w:r>
          </w:p>
        </w:tc>
        <w:tc>
          <w:tcPr>
            <w:tcW w:w="1666" w:type="pct"/>
            <w:gridSpan w:val="2"/>
            <w:tcBorders>
              <w:left w:val="single" w:color="000000" w:sz="4" w:space="0"/>
              <w:bottom w:val="single" w:color="auto" w:sz="12" w:space="0"/>
            </w:tcBorders>
            <w:shd w:val="clear" w:color="auto" w:fill="auto"/>
            <w:vAlign w:val="center"/>
          </w:tcPr>
          <w:p w14:paraId="03E239F6">
            <w:pPr>
              <w:keepNext w:val="0"/>
              <w:keepLines w:val="0"/>
              <w:widowControl/>
              <w:suppressLineNumbers w:val="0"/>
              <w:jc w:val="center"/>
              <w:textAlignment w:val="center"/>
              <w:rPr>
                <w:rFonts w:hint="default" w:cs="Times New Roman"/>
                <w:b w:val="0"/>
                <w:bCs w:val="0"/>
                <w:i w:val="0"/>
                <w:iCs w:val="0"/>
                <w:color w:val="auto"/>
                <w:kern w:val="0"/>
                <w:sz w:val="18"/>
                <w:szCs w:val="18"/>
                <w:u w:val="none"/>
                <w:lang w:val="en-US" w:eastAsia="zh-CN" w:bidi="ar"/>
              </w:rPr>
            </w:pPr>
            <w:r>
              <w:rPr>
                <w:rFonts w:hint="eastAsia" w:cs="Times New Roman"/>
                <w:b w:val="0"/>
                <w:bCs w:val="0"/>
                <w:i w:val="0"/>
                <w:iCs w:val="0"/>
                <w:color w:val="auto"/>
                <w:kern w:val="0"/>
                <w:sz w:val="18"/>
                <w:szCs w:val="18"/>
                <w:u w:val="none"/>
                <w:lang w:val="en-US" w:eastAsia="zh-CN" w:bidi="ar"/>
              </w:rPr>
              <w:t>单位</w:t>
            </w:r>
          </w:p>
        </w:tc>
        <w:tc>
          <w:tcPr>
            <w:tcW w:w="1668" w:type="pct"/>
            <w:gridSpan w:val="2"/>
            <w:tcBorders>
              <w:left w:val="single" w:color="000000" w:sz="4" w:space="0"/>
              <w:bottom w:val="single" w:color="auto" w:sz="12" w:space="0"/>
            </w:tcBorders>
            <w:shd w:val="clear" w:color="auto" w:fill="auto"/>
            <w:vAlign w:val="center"/>
          </w:tcPr>
          <w:p w14:paraId="213E4123">
            <w:pPr>
              <w:keepNext w:val="0"/>
              <w:keepLines w:val="0"/>
              <w:widowControl/>
              <w:suppressLineNumbers w:val="0"/>
              <w:jc w:val="center"/>
              <w:textAlignment w:val="center"/>
              <w:rPr>
                <w:rFonts w:hint="default" w:cs="Times New Roman"/>
                <w:b w:val="0"/>
                <w:bCs w:val="0"/>
                <w:i w:val="0"/>
                <w:iCs w:val="0"/>
                <w:color w:val="auto"/>
                <w:kern w:val="0"/>
                <w:sz w:val="18"/>
                <w:szCs w:val="18"/>
                <w:u w:val="none"/>
                <w:lang w:val="en-US" w:eastAsia="zh-CN" w:bidi="ar"/>
              </w:rPr>
            </w:pPr>
            <w:r>
              <w:rPr>
                <w:rFonts w:hint="eastAsia" w:cs="Times New Roman"/>
                <w:b w:val="0"/>
                <w:bCs w:val="0"/>
                <w:i w:val="0"/>
                <w:iCs w:val="0"/>
                <w:color w:val="auto"/>
                <w:kern w:val="0"/>
                <w:sz w:val="18"/>
                <w:szCs w:val="18"/>
                <w:u w:val="none"/>
                <w:lang w:val="en-US" w:eastAsia="zh-CN" w:bidi="ar"/>
              </w:rPr>
              <w:t>二氧化碳排放因子</w:t>
            </w:r>
          </w:p>
        </w:tc>
      </w:tr>
      <w:tr w14:paraId="4145445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1665" w:type="pct"/>
            <w:tcBorders>
              <w:top w:val="single" w:color="auto" w:sz="12" w:space="0"/>
              <w:bottom w:val="single" w:color="auto" w:sz="4" w:space="0"/>
              <w:right w:val="single" w:color="auto" w:sz="4" w:space="0"/>
              <w:tl2br w:val="nil"/>
              <w:tr2bl w:val="nil"/>
            </w:tcBorders>
            <w:shd w:val="clear" w:color="auto" w:fill="auto"/>
            <w:vAlign w:val="center"/>
          </w:tcPr>
          <w:p w14:paraId="17BD6153">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电力消费的排放因子</w:t>
            </w:r>
          </w:p>
        </w:tc>
        <w:tc>
          <w:tcPr>
            <w:tcW w:w="1666" w:type="pct"/>
            <w:gridSpan w:val="2"/>
            <w:tcBorders>
              <w:top w:val="single" w:color="auto" w:sz="12" w:space="0"/>
              <w:left w:val="single" w:color="000000" w:sz="4" w:space="0"/>
              <w:bottom w:val="single" w:color="000000" w:sz="4" w:space="0"/>
              <w:tl2br w:val="nil"/>
              <w:tr2bl w:val="nil"/>
            </w:tcBorders>
            <w:shd w:val="clear" w:color="auto" w:fill="auto"/>
            <w:vAlign w:val="center"/>
          </w:tcPr>
          <w:p w14:paraId="5283656F">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tCO</w:t>
            </w:r>
            <w:r>
              <w:rPr>
                <w:rFonts w:hint="eastAsia" w:cs="Times New Roman"/>
                <w:i w:val="0"/>
                <w:iCs w:val="0"/>
                <w:color w:val="auto"/>
                <w:kern w:val="0"/>
                <w:sz w:val="18"/>
                <w:szCs w:val="18"/>
                <w:u w:val="none"/>
                <w:vertAlign w:val="subscript"/>
                <w:lang w:val="en-US" w:eastAsia="zh-CN" w:bidi="ar"/>
              </w:rPr>
              <w:t>2</w:t>
            </w:r>
            <w:r>
              <w:rPr>
                <w:rFonts w:hint="eastAsia" w:cs="Times New Roman"/>
                <w:i w:val="0"/>
                <w:iCs w:val="0"/>
                <w:color w:val="auto"/>
                <w:kern w:val="0"/>
                <w:sz w:val="18"/>
                <w:szCs w:val="18"/>
                <w:u w:val="none"/>
                <w:lang w:val="en-US" w:eastAsia="zh-CN" w:bidi="ar"/>
              </w:rPr>
              <w:t>/MWh</w:t>
            </w:r>
          </w:p>
        </w:tc>
        <w:tc>
          <w:tcPr>
            <w:tcW w:w="1668" w:type="pct"/>
            <w:gridSpan w:val="2"/>
            <w:tcBorders>
              <w:top w:val="single" w:color="auto" w:sz="12" w:space="0"/>
              <w:left w:val="single" w:color="000000" w:sz="4" w:space="0"/>
              <w:bottom w:val="single" w:color="000000" w:sz="4" w:space="0"/>
              <w:tl2br w:val="nil"/>
              <w:tr2bl w:val="nil"/>
            </w:tcBorders>
            <w:shd w:val="clear" w:color="auto" w:fill="auto"/>
            <w:vAlign w:val="center"/>
          </w:tcPr>
          <w:p w14:paraId="4A842217">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采用国家最新发布值</w:t>
            </w:r>
          </w:p>
        </w:tc>
      </w:tr>
      <w:tr w14:paraId="6763F03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1666" w:type="pct"/>
            <w:gridSpan w:val="2"/>
            <w:tcBorders>
              <w:top w:val="single" w:color="000000" w:sz="4" w:space="0"/>
              <w:left w:val="single" w:color="auto" w:sz="12" w:space="0"/>
              <w:bottom w:val="single" w:color="auto" w:sz="12" w:space="0"/>
              <w:right w:val="single" w:color="000000" w:sz="4" w:space="0"/>
            </w:tcBorders>
            <w:shd w:val="clear" w:color="auto" w:fill="auto"/>
            <w:vAlign w:val="center"/>
          </w:tcPr>
          <w:p w14:paraId="07D8944C">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热力消费的排放因子</w:t>
            </w:r>
          </w:p>
        </w:tc>
        <w:tc>
          <w:tcPr>
            <w:tcW w:w="1666" w:type="pct"/>
            <w:gridSpan w:val="2"/>
            <w:tcBorders>
              <w:top w:val="single" w:color="000000" w:sz="4" w:space="0"/>
              <w:left w:val="single" w:color="000000" w:sz="4" w:space="0"/>
              <w:bottom w:val="single" w:color="auto" w:sz="12" w:space="0"/>
              <w:right w:val="single" w:color="000000" w:sz="4" w:space="0"/>
            </w:tcBorders>
            <w:shd w:val="clear" w:color="auto" w:fill="auto"/>
            <w:vAlign w:val="center"/>
          </w:tcPr>
          <w:p w14:paraId="5FE06902">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tCO</w:t>
            </w:r>
            <w:r>
              <w:rPr>
                <w:rFonts w:hint="eastAsia" w:cs="Times New Roman"/>
                <w:i w:val="0"/>
                <w:iCs w:val="0"/>
                <w:color w:val="auto"/>
                <w:kern w:val="0"/>
                <w:sz w:val="18"/>
                <w:szCs w:val="18"/>
                <w:u w:val="none"/>
                <w:vertAlign w:val="subscript"/>
                <w:lang w:val="en-US" w:eastAsia="zh-CN" w:bidi="ar"/>
              </w:rPr>
              <w:t>2</w:t>
            </w:r>
            <w:r>
              <w:rPr>
                <w:rFonts w:hint="eastAsia" w:cs="Times New Roman"/>
                <w:i w:val="0"/>
                <w:iCs w:val="0"/>
                <w:color w:val="auto"/>
                <w:kern w:val="0"/>
                <w:sz w:val="18"/>
                <w:szCs w:val="18"/>
                <w:u w:val="none"/>
                <w:lang w:val="en-US" w:eastAsia="zh-CN" w:bidi="ar"/>
              </w:rPr>
              <w:t>/GJ</w:t>
            </w:r>
          </w:p>
        </w:tc>
        <w:tc>
          <w:tcPr>
            <w:tcW w:w="1667" w:type="pct"/>
            <w:tcBorders>
              <w:top w:val="single" w:color="000000" w:sz="4" w:space="0"/>
              <w:left w:val="single" w:color="000000" w:sz="4" w:space="0"/>
              <w:bottom w:val="single" w:color="auto" w:sz="12" w:space="0"/>
              <w:right w:val="single" w:color="auto" w:sz="12" w:space="0"/>
            </w:tcBorders>
            <w:shd w:val="clear" w:color="auto" w:fill="auto"/>
            <w:vAlign w:val="center"/>
          </w:tcPr>
          <w:p w14:paraId="4B36DBAA">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18"/>
                <w:szCs w:val="18"/>
                <w:u w:val="none"/>
                <w:lang w:val="en-US" w:eastAsia="zh-CN" w:bidi="ar"/>
              </w:rPr>
            </w:pPr>
            <w:r>
              <w:rPr>
                <w:rFonts w:hint="eastAsia" w:cs="Times New Roman"/>
                <w:i w:val="0"/>
                <w:iCs w:val="0"/>
                <w:color w:val="auto"/>
                <w:kern w:val="0"/>
                <w:sz w:val="18"/>
                <w:szCs w:val="18"/>
                <w:u w:val="none"/>
                <w:lang w:val="en-US" w:eastAsia="zh-CN" w:bidi="ar"/>
              </w:rPr>
              <w:t>0.11</w:t>
            </w:r>
          </w:p>
        </w:tc>
      </w:tr>
    </w:tbl>
    <w:p w14:paraId="65C67C78">
      <w:pPr>
        <w:jc w:val="center"/>
        <w:rPr>
          <w:rFonts w:hint="eastAsia" w:ascii="宋体" w:hAnsi="Times New Roman" w:eastAsia="宋体" w:cs="Times New Roman"/>
          <w:b/>
          <w:bCs/>
          <w:color w:val="auto"/>
          <w:kern w:val="0"/>
          <w:sz w:val="21"/>
          <w:szCs w:val="21"/>
          <w:lang w:val="en-US" w:eastAsia="zh-CN" w:bidi="ar-SA"/>
        </w:rPr>
      </w:pPr>
    </w:p>
    <w:p w14:paraId="6340B2C6">
      <w:pPr>
        <w:rPr>
          <w:rFonts w:hint="default" w:hAnsi="Cambria Math" w:cs="Times New Roman"/>
          <w:i w:val="0"/>
          <w:color w:val="auto"/>
          <w:sz w:val="21"/>
          <w:szCs w:val="22"/>
          <w:u w:val="none"/>
          <w:lang w:val="en-US" w:eastAsia="zh-CN" w:bidi="ar-SA"/>
        </w:rPr>
      </w:pPr>
      <w:r>
        <w:rPr>
          <w:color w:val="auto"/>
          <w:sz w:val="21"/>
        </w:rPr>
        <mc:AlternateContent>
          <mc:Choice Requires="wps">
            <w:drawing>
              <wp:anchor distT="0" distB="0" distL="114300" distR="114300" simplePos="0" relativeHeight="251661312" behindDoc="0" locked="0" layoutInCell="1" allowOverlap="1">
                <wp:simplePos x="0" y="0"/>
                <wp:positionH relativeFrom="column">
                  <wp:posOffset>2136140</wp:posOffset>
                </wp:positionH>
                <wp:positionV relativeFrom="paragraph">
                  <wp:posOffset>120650</wp:posOffset>
                </wp:positionV>
                <wp:extent cx="1486535" cy="5715"/>
                <wp:effectExtent l="0" t="7620" r="12065" b="12065"/>
                <wp:wrapTopAndBottom/>
                <wp:docPr id="21" name="直接连接符 21"/>
                <wp:cNvGraphicFramePr/>
                <a:graphic xmlns:a="http://schemas.openxmlformats.org/drawingml/2006/main">
                  <a:graphicData uri="http://schemas.microsoft.com/office/word/2010/wordprocessingShape">
                    <wps:wsp>
                      <wps:cNvCnPr/>
                      <wps:spPr>
                        <a:xfrm>
                          <a:off x="2733040" y="3231515"/>
                          <a:ext cx="1486535" cy="5715"/>
                        </a:xfrm>
                        <a:prstGeom prst="line">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68.2pt;margin-top:9.5pt;height:0.45pt;width:117.05pt;mso-wrap-distance-bottom:0pt;mso-wrap-distance-top:0pt;z-index:251661312;mso-width-relative:page;mso-height-relative:page;" filled="f" stroked="t" coordsize="21600,21600" o:gfxdata="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ye9S&#10;vdgAAAAJAQAADwAAAAAAAAABACAAAAAiAAAAZHJzL2Rvd25yZXYueG1sUEsBAhQAFAAAAAgAh07i&#10;QLKQEULpAQAArAMAAA4AAAAAAAAAAQAgAAAAJwEAAGRycy9lMm9Eb2MueG1sUEsFBgAAAAAGAAYA&#10;WQEAAIIFAAAAAA==&#10;">
                <v:fill on="f" focussize="0,0"/>
                <v:stroke weight="1.25pt" color="#000000 [3213]" joinstyle="round"/>
                <v:imagedata o:title=""/>
                <o:lock v:ext="edit" aspectratio="f"/>
                <w10:wrap type="topAndBottom"/>
              </v:line>
            </w:pict>
          </mc:Fallback>
        </mc:AlternateContent>
      </w:r>
    </w:p>
    <w:sectPr>
      <w:pgSz w:w="11906" w:h="16838"/>
      <w:pgMar w:top="567" w:right="1134" w:bottom="709" w:left="1418" w:header="1418" w:footer="1134" w:gutter="0"/>
      <w:pgBorders w:offsetFrom="page">
        <w:top w:val="none" w:sz="0" w:space="0"/>
        <w:left w:val="none" w:sz="0" w:space="0"/>
        <w:bottom w:val="none" w:sz="0" w:space="0"/>
        <w:right w:val="none" w:sz="0" w:space="0"/>
      </w:pgBorders>
      <w:pgNumType w:fmt="decimal"/>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FKai-SB">
    <w:altName w:val="Microsoft JhengHei Light"/>
    <w:panose1 w:val="03000509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KSOFEE68C3F3">
    <w:panose1 w:val="020B0304030504040204"/>
    <w:charset w:val="88"/>
    <w:family w:val="auto"/>
    <w:pitch w:val="default"/>
    <w:sig w:usb0="00000001" w:usb1="00000000"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6929F">
    <w:pPr>
      <w:pStyle w:val="5"/>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55B69E">
                          <w:pPr>
                            <w:pStyle w:val="5"/>
                            <w:jc w:val="right"/>
                          </w:pPr>
                          <w:r>
                            <w:fldChar w:fldCharType="begin"/>
                          </w:r>
                          <w:r>
                            <w:instrText xml:space="preserve"> PAGE  \* ROMAN  \* MERGEFORMAT </w:instrText>
                          </w:r>
                          <w:r>
                            <w:fldChar w:fldCharType="separate"/>
                          </w:r>
                          <w:r>
                            <w:rPr>
                              <w:color w:val="4F81BD"/>
                              <w:sz w:val="28"/>
                              <w:szCs w:val="28"/>
                              <w:lang w:val="zh-CN"/>
                            </w:rPr>
                            <w:t>II</w:t>
                          </w:r>
                          <w:r>
                            <w:rPr>
                              <w:color w:val="4F81BD"/>
                              <w:sz w:val="28"/>
                              <w:szCs w:val="28"/>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955B69E">
                    <w:pPr>
                      <w:pStyle w:val="5"/>
                      <w:jc w:val="right"/>
                    </w:pPr>
                    <w:r>
                      <w:fldChar w:fldCharType="begin"/>
                    </w:r>
                    <w:r>
                      <w:instrText xml:space="preserve"> PAGE  \* ROMAN  \* MERGEFORMAT </w:instrText>
                    </w:r>
                    <w:r>
                      <w:fldChar w:fldCharType="separate"/>
                    </w:r>
                    <w:r>
                      <w:rPr>
                        <w:color w:val="4F81BD"/>
                        <w:sz w:val="28"/>
                        <w:szCs w:val="28"/>
                        <w:lang w:val="zh-CN"/>
                      </w:rPr>
                      <w:t>II</w:t>
                    </w:r>
                    <w:r>
                      <w:rPr>
                        <w:color w:val="4F81BD"/>
                        <w:sz w:val="28"/>
                        <w:szCs w:val="28"/>
                        <w:lang w:val="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C4BFD">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CE77BB">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7CE77BB">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E1B5C">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7CAC5E">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E7CAC5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55543">
    <w:pPr>
      <w:pStyle w:val="5"/>
      <w:jc w:val="right"/>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115BF1">
                          <w:pPr>
                            <w:pStyle w:val="5"/>
                            <w:jc w:val="right"/>
                          </w:pPr>
                          <w:r>
                            <w:rPr>
                              <w:color w:val="auto"/>
                              <w:sz w:val="18"/>
                              <w:szCs w:val="18"/>
                            </w:rPr>
                            <w:fldChar w:fldCharType="begin"/>
                          </w:r>
                          <w:r>
                            <w:rPr>
                              <w:color w:val="auto"/>
                              <w:sz w:val="18"/>
                              <w:szCs w:val="18"/>
                            </w:rPr>
                            <w:instrText xml:space="preserve"> PAGE  \* ROMAN  \* MERGEFORMAT </w:instrText>
                          </w:r>
                          <w:r>
                            <w:rPr>
                              <w:color w:val="auto"/>
                              <w:sz w:val="18"/>
                              <w:szCs w:val="18"/>
                            </w:rPr>
                            <w:fldChar w:fldCharType="separate"/>
                          </w:r>
                          <w:r>
                            <w:rPr>
                              <w:color w:val="auto"/>
                              <w:sz w:val="18"/>
                              <w:szCs w:val="18"/>
                              <w:lang w:val="zh-CN"/>
                            </w:rPr>
                            <w:t>I</w:t>
                          </w:r>
                          <w:r>
                            <w:rPr>
                              <w:color w:val="auto"/>
                              <w:sz w:val="18"/>
                              <w:szCs w:val="18"/>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C115BF1">
                    <w:pPr>
                      <w:pStyle w:val="5"/>
                      <w:jc w:val="right"/>
                    </w:pPr>
                    <w:r>
                      <w:rPr>
                        <w:color w:val="auto"/>
                        <w:sz w:val="18"/>
                        <w:szCs w:val="18"/>
                      </w:rPr>
                      <w:fldChar w:fldCharType="begin"/>
                    </w:r>
                    <w:r>
                      <w:rPr>
                        <w:color w:val="auto"/>
                        <w:sz w:val="18"/>
                        <w:szCs w:val="18"/>
                      </w:rPr>
                      <w:instrText xml:space="preserve"> PAGE  \* ROMAN  \* MERGEFORMAT </w:instrText>
                    </w:r>
                    <w:r>
                      <w:rPr>
                        <w:color w:val="auto"/>
                        <w:sz w:val="18"/>
                        <w:szCs w:val="18"/>
                      </w:rPr>
                      <w:fldChar w:fldCharType="separate"/>
                    </w:r>
                    <w:r>
                      <w:rPr>
                        <w:color w:val="auto"/>
                        <w:sz w:val="18"/>
                        <w:szCs w:val="18"/>
                        <w:lang w:val="zh-CN"/>
                      </w:rPr>
                      <w:t>I</w:t>
                    </w:r>
                    <w:r>
                      <w:rPr>
                        <w:color w:val="auto"/>
                        <w:sz w:val="18"/>
                        <w:szCs w:val="18"/>
                        <w:lang w:val="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B1F58">
    <w:pPr>
      <w:pStyle w:val="5"/>
      <w:jc w:val="right"/>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1C68F5">
                          <w:pPr>
                            <w:pStyle w:val="5"/>
                            <w:jc w:val="right"/>
                          </w:pPr>
                          <w:r>
                            <w:rPr>
                              <w:rFonts w:hint="eastAsia" w:ascii="宋体" w:hAnsi="宋体" w:eastAsia="宋体" w:cs="宋体"/>
                              <w:color w:val="auto"/>
                            </w:rPr>
                            <w:fldChar w:fldCharType="begin"/>
                          </w:r>
                          <w:r>
                            <w:rPr>
                              <w:rFonts w:hint="eastAsia" w:ascii="宋体" w:hAnsi="宋体" w:eastAsia="宋体" w:cs="宋体"/>
                              <w:color w:val="auto"/>
                            </w:rPr>
                            <w:instrText xml:space="preserve"> PAGE   \* MERGEFORMAT </w:instrText>
                          </w:r>
                          <w:r>
                            <w:rPr>
                              <w:rFonts w:hint="eastAsia" w:ascii="宋体" w:hAnsi="宋体" w:eastAsia="宋体" w:cs="宋体"/>
                              <w:color w:val="auto"/>
                            </w:rPr>
                            <w:fldChar w:fldCharType="separate"/>
                          </w:r>
                          <w:r>
                            <w:rPr>
                              <w:rFonts w:hint="eastAsia" w:ascii="宋体" w:hAnsi="宋体" w:eastAsia="宋体" w:cs="宋体"/>
                              <w:color w:val="auto"/>
                              <w:lang w:val="zh-CN"/>
                            </w:rPr>
                            <w:t>5</w:t>
                          </w:r>
                          <w:r>
                            <w:rPr>
                              <w:rFonts w:hint="eastAsia" w:ascii="宋体" w:hAnsi="宋体" w:eastAsia="宋体" w:cs="宋体"/>
                              <w:color w:val="auto"/>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651C68F5">
                    <w:pPr>
                      <w:pStyle w:val="5"/>
                      <w:jc w:val="right"/>
                    </w:pPr>
                    <w:r>
                      <w:rPr>
                        <w:rFonts w:hint="eastAsia" w:ascii="宋体" w:hAnsi="宋体" w:eastAsia="宋体" w:cs="宋体"/>
                        <w:color w:val="auto"/>
                      </w:rPr>
                      <w:fldChar w:fldCharType="begin"/>
                    </w:r>
                    <w:r>
                      <w:rPr>
                        <w:rFonts w:hint="eastAsia" w:ascii="宋体" w:hAnsi="宋体" w:eastAsia="宋体" w:cs="宋体"/>
                        <w:color w:val="auto"/>
                      </w:rPr>
                      <w:instrText xml:space="preserve"> PAGE   \* MERGEFORMAT </w:instrText>
                    </w:r>
                    <w:r>
                      <w:rPr>
                        <w:rFonts w:hint="eastAsia" w:ascii="宋体" w:hAnsi="宋体" w:eastAsia="宋体" w:cs="宋体"/>
                        <w:color w:val="auto"/>
                      </w:rPr>
                      <w:fldChar w:fldCharType="separate"/>
                    </w:r>
                    <w:r>
                      <w:rPr>
                        <w:rFonts w:hint="eastAsia" w:ascii="宋体" w:hAnsi="宋体" w:eastAsia="宋体" w:cs="宋体"/>
                        <w:color w:val="auto"/>
                        <w:lang w:val="zh-CN"/>
                      </w:rPr>
                      <w:t>5</w:t>
                    </w:r>
                    <w:r>
                      <w:rPr>
                        <w:rFonts w:hint="eastAsia" w:ascii="宋体" w:hAnsi="宋体" w:eastAsia="宋体" w:cs="宋体"/>
                        <w:color w:val="auto"/>
                        <w:lang w:val="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1257F">
    <w:pPr>
      <w:pStyle w:val="5"/>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BAC940">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4FBAC940">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28EED">
    <w:pPr>
      <w:pStyle w:val="5"/>
      <w:jc w:val="right"/>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91535">
                          <w:pPr>
                            <w:pStyle w:val="5"/>
                            <w:jc w:val="right"/>
                          </w:pPr>
                          <w:r>
                            <w:rPr>
                              <w:rFonts w:hint="eastAsia" w:ascii="宋体" w:hAnsi="宋体" w:eastAsia="宋体" w:cs="宋体"/>
                              <w:color w:val="auto"/>
                            </w:rPr>
                            <w:fldChar w:fldCharType="begin"/>
                          </w:r>
                          <w:r>
                            <w:rPr>
                              <w:rFonts w:hint="eastAsia" w:ascii="宋体" w:hAnsi="宋体" w:eastAsia="宋体" w:cs="宋体"/>
                              <w:color w:val="auto"/>
                            </w:rPr>
                            <w:instrText xml:space="preserve"> PAGE   \* MERGEFORMAT </w:instrText>
                          </w:r>
                          <w:r>
                            <w:rPr>
                              <w:rFonts w:hint="eastAsia" w:ascii="宋体" w:hAnsi="宋体" w:eastAsia="宋体" w:cs="宋体"/>
                              <w:color w:val="auto"/>
                            </w:rPr>
                            <w:fldChar w:fldCharType="separate"/>
                          </w:r>
                          <w:r>
                            <w:rPr>
                              <w:rFonts w:hint="eastAsia" w:ascii="宋体" w:hAnsi="宋体" w:eastAsia="宋体" w:cs="宋体"/>
                              <w:color w:val="auto"/>
                              <w:lang w:val="zh-CN"/>
                            </w:rPr>
                            <w:t>5</w:t>
                          </w:r>
                          <w:r>
                            <w:rPr>
                              <w:rFonts w:hint="eastAsia" w:ascii="宋体" w:hAnsi="宋体" w:eastAsia="宋体" w:cs="宋体"/>
                              <w:color w:val="auto"/>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C191535">
                    <w:pPr>
                      <w:pStyle w:val="5"/>
                      <w:jc w:val="right"/>
                    </w:pPr>
                    <w:r>
                      <w:rPr>
                        <w:rFonts w:hint="eastAsia" w:ascii="宋体" w:hAnsi="宋体" w:eastAsia="宋体" w:cs="宋体"/>
                        <w:color w:val="auto"/>
                      </w:rPr>
                      <w:fldChar w:fldCharType="begin"/>
                    </w:r>
                    <w:r>
                      <w:rPr>
                        <w:rFonts w:hint="eastAsia" w:ascii="宋体" w:hAnsi="宋体" w:eastAsia="宋体" w:cs="宋体"/>
                        <w:color w:val="auto"/>
                      </w:rPr>
                      <w:instrText xml:space="preserve"> PAGE   \* MERGEFORMAT </w:instrText>
                    </w:r>
                    <w:r>
                      <w:rPr>
                        <w:rFonts w:hint="eastAsia" w:ascii="宋体" w:hAnsi="宋体" w:eastAsia="宋体" w:cs="宋体"/>
                        <w:color w:val="auto"/>
                      </w:rPr>
                      <w:fldChar w:fldCharType="separate"/>
                    </w:r>
                    <w:r>
                      <w:rPr>
                        <w:rFonts w:hint="eastAsia" w:ascii="宋体" w:hAnsi="宋体" w:eastAsia="宋体" w:cs="宋体"/>
                        <w:color w:val="auto"/>
                        <w:lang w:val="zh-CN"/>
                      </w:rPr>
                      <w:t>5</w:t>
                    </w:r>
                    <w:r>
                      <w:rPr>
                        <w:rFonts w:hint="eastAsia" w:ascii="宋体" w:hAnsi="宋体" w:eastAsia="宋体" w:cs="宋体"/>
                        <w:color w:val="auto"/>
                        <w:lang w:val="zh-C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DAAC3">
    <w:pPr>
      <w:pStyle w:val="5"/>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144A76">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7F144A76">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BDFC6">
    <w:pPr>
      <w:jc w:val="right"/>
      <w:rPr>
        <w:rFonts w:hint="default" w:ascii="黑体" w:hAnsi="黑体" w:eastAsia="黑体" w:cs="黑体"/>
        <w:lang w:val="en-US" w:eastAsia="zh-CN"/>
      </w:rPr>
    </w:pPr>
    <w:r>
      <w:rPr>
        <w:rFonts w:hint="eastAsia" w:ascii="黑体" w:hAnsi="黑体" w:eastAsia="黑体" w:cs="黑体"/>
        <w:sz w:val="20"/>
      </w:rPr>
      <w:t xml:space="preserve">T/GPCIA  </w:t>
    </w:r>
    <w:r>
      <w:rPr>
        <w:rFonts w:hint="eastAsia" w:ascii="黑体" w:hAnsi="黑体" w:eastAsia="黑体" w:cs="黑体"/>
        <w:sz w:val="20"/>
        <w:lang w:val="en-US" w:eastAsia="zh-CN"/>
      </w:rPr>
      <w:t>XXXX</w:t>
    </w:r>
    <w:r>
      <w:rPr>
        <w:rFonts w:hint="eastAsia" w:ascii="黑体" w:hAnsi="黑体" w:eastAsia="黑体" w:cs="黑体"/>
        <w:sz w:val="20"/>
      </w:rPr>
      <w:t>—</w:t>
    </w:r>
    <w:r>
      <w:rPr>
        <w:rFonts w:hint="eastAsia" w:ascii="黑体" w:hAnsi="黑体" w:eastAsia="黑体" w:cs="黑体"/>
        <w:sz w:val="20"/>
        <w:lang w:val="en-US" w:eastAsia="zh-CN"/>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FD0A5">
    <w:pPr>
      <w:pStyle w:val="6"/>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ICS </w:t>
    </w:r>
    <w:r>
      <w:rPr>
        <w:rFonts w:hint="eastAsia" w:ascii="宋体" w:hAnsi="宋体" w:eastAsia="宋体" w:cs="宋体"/>
        <w:b/>
        <w:bCs/>
        <w:color w:val="auto"/>
        <w:sz w:val="21"/>
        <w:szCs w:val="21"/>
        <w:lang w:val="en-US" w:eastAsia="zh-CN"/>
      </w:rPr>
      <w:t>27</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01</w:t>
    </w:r>
    <w:r>
      <w:rPr>
        <w:rFonts w:hint="eastAsia" w:ascii="宋体" w:hAnsi="宋体" w:eastAsia="宋体" w:cs="宋体"/>
        <w:b/>
        <w:bCs/>
        <w:color w:val="auto"/>
        <w:sz w:val="21"/>
        <w:szCs w:val="21"/>
      </w:rPr>
      <w:t>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24D6A">
    <w:pPr>
      <w:pStyle w:val="6"/>
      <w:rPr>
        <w:rFonts w:hint="default"/>
        <w:highlight w:val="none"/>
        <w:lang w:val="en-US"/>
      </w:rPr>
    </w:pPr>
    <w:r>
      <w:rPr>
        <w:rFonts w:hint="eastAsia" w:ascii="黑体" w:hAnsi="黑体" w:eastAsia="黑体" w:cs="黑体"/>
        <w:sz w:val="20"/>
        <w:highlight w:val="none"/>
      </w:rPr>
      <w:t xml:space="preserve">T/GPCIA  </w:t>
    </w:r>
    <w:r>
      <w:rPr>
        <w:rFonts w:hint="eastAsia" w:ascii="黑体" w:hAnsi="黑体" w:eastAsia="黑体" w:cs="黑体"/>
        <w:sz w:val="20"/>
        <w:highlight w:val="none"/>
        <w:lang w:val="en-US" w:eastAsia="zh-CN"/>
      </w:rPr>
      <w:t>XXXX</w:t>
    </w:r>
    <w:r>
      <w:rPr>
        <w:rFonts w:hint="eastAsia" w:ascii="黑体" w:hAnsi="黑体" w:eastAsia="黑体" w:cs="黑体"/>
        <w:sz w:val="20"/>
        <w:highlight w:val="none"/>
      </w:rPr>
      <w:t>—</w:t>
    </w:r>
    <w:r>
      <w:rPr>
        <w:rFonts w:hint="eastAsia" w:ascii="黑体" w:hAnsi="黑体" w:eastAsia="黑体" w:cs="黑体"/>
        <w:sz w:val="20"/>
        <w:highlight w:val="none"/>
        <w:lang w:val="en-US" w:eastAsia="zh-C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E081A"/>
    <w:multiLevelType w:val="multilevel"/>
    <w:tmpl w:val="115E081A"/>
    <w:lvl w:ilvl="0" w:tentative="0">
      <w:start w:val="1"/>
      <w:numFmt w:val="decimal"/>
      <w:suff w:val="nothing"/>
      <w:lvlText w:val="%1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1" w:tentative="0">
      <w:start w:val="1"/>
      <w:numFmt w:val="decimal"/>
      <w:pStyle w:val="77"/>
      <w:suff w:val="nothing"/>
      <w:lvlText w:val="%1.%2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2" w:tentative="0">
      <w:start w:val="1"/>
      <w:numFmt w:val="decimal"/>
      <w:suff w:val="nothing"/>
      <w:lvlText w:val="%1.%2.%3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1">
    <w:nsid w:val="1FC91163"/>
    <w:multiLevelType w:val="multilevel"/>
    <w:tmpl w:val="1FC91163"/>
    <w:lvl w:ilvl="0" w:tentative="0">
      <w:start w:val="1"/>
      <w:numFmt w:val="decimal"/>
      <w:pStyle w:val="39"/>
      <w:suff w:val="nothing"/>
      <w:lvlText w:val="%1　"/>
      <w:lvlJc w:val="left"/>
      <w:rPr>
        <w:rFonts w:hint="eastAsia" w:ascii="黑体" w:hAnsi="Times New Roman" w:eastAsia="黑体" w:cs="Times New Roman"/>
        <w:b w:val="0"/>
        <w:i w:val="0"/>
        <w:sz w:val="21"/>
        <w:szCs w:val="21"/>
      </w:rPr>
    </w:lvl>
    <w:lvl w:ilvl="1" w:tentative="0">
      <w:start w:val="1"/>
      <w:numFmt w:val="decimal"/>
      <w:pStyle w:val="36"/>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0"/>
      <w:suff w:val="nothing"/>
      <w:lvlText w:val="%1.%2.%3　"/>
      <w:lvlJc w:val="left"/>
      <w:rPr>
        <w:rFonts w:hint="eastAsia" w:ascii="黑体" w:hAnsi="Times New Roman" w:eastAsia="黑体" w:cs="Times New Roman"/>
        <w:b w:val="0"/>
        <w:i w:val="0"/>
        <w:sz w:val="21"/>
      </w:rPr>
    </w:lvl>
    <w:lvl w:ilvl="3" w:tentative="0">
      <w:start w:val="1"/>
      <w:numFmt w:val="decimal"/>
      <w:pStyle w:val="41"/>
      <w:suff w:val="nothing"/>
      <w:lvlText w:val="%1.%2.%3.%4　"/>
      <w:lvlJc w:val="left"/>
      <w:rPr>
        <w:rFonts w:hint="eastAsia" w:ascii="黑体" w:hAnsi="Times New Roman" w:eastAsia="黑体" w:cs="Times New Roman"/>
        <w:b w:val="0"/>
        <w:i w:val="0"/>
        <w:sz w:val="21"/>
      </w:rPr>
    </w:lvl>
    <w:lvl w:ilvl="4" w:tentative="0">
      <w:start w:val="1"/>
      <w:numFmt w:val="decimal"/>
      <w:pStyle w:val="42"/>
      <w:suff w:val="nothing"/>
      <w:lvlText w:val="%1.%2.%3.%4.%5　"/>
      <w:lvlJc w:val="left"/>
      <w:rPr>
        <w:rFonts w:hint="eastAsia" w:ascii="黑体" w:hAnsi="Times New Roman" w:eastAsia="黑体" w:cs="Times New Roman"/>
        <w:b w:val="0"/>
        <w:i w:val="0"/>
        <w:sz w:val="21"/>
      </w:rPr>
    </w:lvl>
    <w:lvl w:ilvl="5" w:tentative="0">
      <w:start w:val="1"/>
      <w:numFmt w:val="decimal"/>
      <w:pStyle w:val="43"/>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5060"/>
        </w:tabs>
        <w:ind w:left="4678" w:hanging="1418"/>
      </w:pPr>
      <w:rPr>
        <w:rFonts w:hint="eastAsia" w:cs="Times New Roman"/>
      </w:rPr>
    </w:lvl>
    <w:lvl w:ilvl="8" w:tentative="0">
      <w:start w:val="1"/>
      <w:numFmt w:val="decimal"/>
      <w:lvlText w:val="%1.%2.%3.%4.%5.%6.%7.%8.%9"/>
      <w:lvlJc w:val="left"/>
      <w:pPr>
        <w:tabs>
          <w:tab w:val="left" w:pos="5486"/>
        </w:tabs>
        <w:ind w:left="5386" w:hanging="1700"/>
      </w:pPr>
      <w:rPr>
        <w:rFonts w:hint="eastAsia" w:cs="Times New Roman"/>
      </w:rPr>
    </w:lvl>
  </w:abstractNum>
  <w:abstractNum w:abstractNumId="2">
    <w:nsid w:val="2C5917C3"/>
    <w:multiLevelType w:val="multilevel"/>
    <w:tmpl w:val="2C5917C3"/>
    <w:lvl w:ilvl="0" w:tentative="0">
      <w:start w:val="1"/>
      <w:numFmt w:val="none"/>
      <w:pStyle w:val="58"/>
      <w:suff w:val="nothing"/>
      <w:lvlText w:val="%1——"/>
      <w:lvlJc w:val="left"/>
      <w:pPr>
        <w:ind w:left="833" w:hanging="408"/>
      </w:pPr>
      <w:rPr>
        <w:rFonts w:hint="eastAsia"/>
      </w:rPr>
    </w:lvl>
    <w:lvl w:ilvl="1" w:tentative="0">
      <w:start w:val="1"/>
      <w:numFmt w:val="bullet"/>
      <w:pStyle w:val="59"/>
      <w:lvlText w:val=""/>
      <w:lvlJc w:val="left"/>
      <w:pPr>
        <w:tabs>
          <w:tab w:val="left" w:pos="760"/>
        </w:tabs>
        <w:ind w:left="1264" w:hanging="413"/>
      </w:pPr>
      <w:rPr>
        <w:rFonts w:hint="default" w:ascii="Symbol" w:hAnsi="Symbol"/>
        <w:color w:val="auto"/>
      </w:rPr>
    </w:lvl>
    <w:lvl w:ilvl="2" w:tentative="0">
      <w:start w:val="1"/>
      <w:numFmt w:val="bullet"/>
      <w:pStyle w:val="6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44C50F90"/>
    <w:multiLevelType w:val="multilevel"/>
    <w:tmpl w:val="44C50F90"/>
    <w:lvl w:ilvl="0" w:tentative="0">
      <w:start w:val="1"/>
      <w:numFmt w:val="lowerLetter"/>
      <w:pStyle w:val="6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2"/>
      <w:lvlText w:val="%2)"/>
      <w:lvlJc w:val="left"/>
      <w:pPr>
        <w:tabs>
          <w:tab w:val="left" w:pos="1260"/>
        </w:tabs>
        <w:ind w:left="1259" w:hanging="419"/>
      </w:pPr>
      <w:rPr>
        <w:rFonts w:hint="eastAsia"/>
      </w:rPr>
    </w:lvl>
    <w:lvl w:ilvl="2" w:tentative="0">
      <w:start w:val="1"/>
      <w:numFmt w:val="decimal"/>
      <w:pStyle w:val="6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618B62A3"/>
    <w:multiLevelType w:val="multilevel"/>
    <w:tmpl w:val="618B62A3"/>
    <w:lvl w:ilvl="0" w:tentative="0">
      <w:start w:val="1"/>
      <w:numFmt w:val="decimal"/>
      <w:pStyle w:val="67"/>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0"/>
  <w:bordersDoNotSurroundFooter w:val="0"/>
  <w:doNotTrackMoves/>
  <w:documentProtection w:enforcement="0"/>
  <w:defaultTabStop w:val="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DkwZTNiNzhjNThkOTg1ZTE5ODZkNmNhMTU1MjcifQ=="/>
  </w:docVars>
  <w:rsids>
    <w:rsidRoot w:val="003857F1"/>
    <w:rsid w:val="000006F3"/>
    <w:rsid w:val="0000107B"/>
    <w:rsid w:val="00004CCE"/>
    <w:rsid w:val="0001216B"/>
    <w:rsid w:val="00015831"/>
    <w:rsid w:val="00044406"/>
    <w:rsid w:val="00047EE2"/>
    <w:rsid w:val="00052FF0"/>
    <w:rsid w:val="00053B67"/>
    <w:rsid w:val="0005517D"/>
    <w:rsid w:val="00055966"/>
    <w:rsid w:val="000620F8"/>
    <w:rsid w:val="000700D9"/>
    <w:rsid w:val="000705E8"/>
    <w:rsid w:val="00072BE0"/>
    <w:rsid w:val="00081C30"/>
    <w:rsid w:val="00083F8C"/>
    <w:rsid w:val="0008727C"/>
    <w:rsid w:val="000904C0"/>
    <w:rsid w:val="00090631"/>
    <w:rsid w:val="0009108D"/>
    <w:rsid w:val="00092728"/>
    <w:rsid w:val="000938F5"/>
    <w:rsid w:val="000940D1"/>
    <w:rsid w:val="00095155"/>
    <w:rsid w:val="000A284C"/>
    <w:rsid w:val="000A6F81"/>
    <w:rsid w:val="000A7760"/>
    <w:rsid w:val="000B1383"/>
    <w:rsid w:val="000B2AB4"/>
    <w:rsid w:val="000C0810"/>
    <w:rsid w:val="000C31F1"/>
    <w:rsid w:val="000C47BD"/>
    <w:rsid w:val="000C648E"/>
    <w:rsid w:val="000E026A"/>
    <w:rsid w:val="000E34C4"/>
    <w:rsid w:val="000E509D"/>
    <w:rsid w:val="000F2BD5"/>
    <w:rsid w:val="000F6E07"/>
    <w:rsid w:val="001026DD"/>
    <w:rsid w:val="00111137"/>
    <w:rsid w:val="00115982"/>
    <w:rsid w:val="00115BF6"/>
    <w:rsid w:val="0011644F"/>
    <w:rsid w:val="00117732"/>
    <w:rsid w:val="001229F3"/>
    <w:rsid w:val="0012316B"/>
    <w:rsid w:val="001336C1"/>
    <w:rsid w:val="001340BA"/>
    <w:rsid w:val="0013502A"/>
    <w:rsid w:val="001358DD"/>
    <w:rsid w:val="00136E33"/>
    <w:rsid w:val="00137BAC"/>
    <w:rsid w:val="00143958"/>
    <w:rsid w:val="00144D3B"/>
    <w:rsid w:val="0014661B"/>
    <w:rsid w:val="00150574"/>
    <w:rsid w:val="00153F05"/>
    <w:rsid w:val="00154415"/>
    <w:rsid w:val="00154F35"/>
    <w:rsid w:val="00157AA2"/>
    <w:rsid w:val="001652AF"/>
    <w:rsid w:val="0016629B"/>
    <w:rsid w:val="001715C3"/>
    <w:rsid w:val="0017366A"/>
    <w:rsid w:val="001738A8"/>
    <w:rsid w:val="00175901"/>
    <w:rsid w:val="00181399"/>
    <w:rsid w:val="0018176C"/>
    <w:rsid w:val="00181A70"/>
    <w:rsid w:val="001A1D98"/>
    <w:rsid w:val="001A3235"/>
    <w:rsid w:val="001A7BCB"/>
    <w:rsid w:val="001B0072"/>
    <w:rsid w:val="001B3CA5"/>
    <w:rsid w:val="001B47FE"/>
    <w:rsid w:val="001C0FED"/>
    <w:rsid w:val="001D23DB"/>
    <w:rsid w:val="001D2986"/>
    <w:rsid w:val="001D4206"/>
    <w:rsid w:val="001D7CD2"/>
    <w:rsid w:val="001E34CF"/>
    <w:rsid w:val="001E637E"/>
    <w:rsid w:val="001F4B7C"/>
    <w:rsid w:val="001F53B2"/>
    <w:rsid w:val="001F5D56"/>
    <w:rsid w:val="001F66CD"/>
    <w:rsid w:val="00206964"/>
    <w:rsid w:val="0021043C"/>
    <w:rsid w:val="00213E0D"/>
    <w:rsid w:val="0022181C"/>
    <w:rsid w:val="00222AA1"/>
    <w:rsid w:val="00226BB0"/>
    <w:rsid w:val="002324D4"/>
    <w:rsid w:val="00234D23"/>
    <w:rsid w:val="00237329"/>
    <w:rsid w:val="00240CED"/>
    <w:rsid w:val="00246354"/>
    <w:rsid w:val="00247460"/>
    <w:rsid w:val="00247C7C"/>
    <w:rsid w:val="00252E82"/>
    <w:rsid w:val="0025380F"/>
    <w:rsid w:val="002632F3"/>
    <w:rsid w:val="00266CFE"/>
    <w:rsid w:val="00271B69"/>
    <w:rsid w:val="00272833"/>
    <w:rsid w:val="00274096"/>
    <w:rsid w:val="00274C7C"/>
    <w:rsid w:val="002903DD"/>
    <w:rsid w:val="002A0DA2"/>
    <w:rsid w:val="002A31B0"/>
    <w:rsid w:val="002A32B6"/>
    <w:rsid w:val="002A7217"/>
    <w:rsid w:val="002C05B6"/>
    <w:rsid w:val="002C1BC1"/>
    <w:rsid w:val="002C48F7"/>
    <w:rsid w:val="002C4FDB"/>
    <w:rsid w:val="002C55D3"/>
    <w:rsid w:val="002C5A27"/>
    <w:rsid w:val="002C61F7"/>
    <w:rsid w:val="002D21A9"/>
    <w:rsid w:val="002D5793"/>
    <w:rsid w:val="002D7D0A"/>
    <w:rsid w:val="002E6171"/>
    <w:rsid w:val="002E6701"/>
    <w:rsid w:val="002E7649"/>
    <w:rsid w:val="002E7931"/>
    <w:rsid w:val="002F1D71"/>
    <w:rsid w:val="002F7757"/>
    <w:rsid w:val="0030305E"/>
    <w:rsid w:val="003076AD"/>
    <w:rsid w:val="00310306"/>
    <w:rsid w:val="003111E4"/>
    <w:rsid w:val="003116F7"/>
    <w:rsid w:val="00315DC8"/>
    <w:rsid w:val="00326D55"/>
    <w:rsid w:val="00327C58"/>
    <w:rsid w:val="003309EF"/>
    <w:rsid w:val="003368BA"/>
    <w:rsid w:val="003460FF"/>
    <w:rsid w:val="003572D0"/>
    <w:rsid w:val="00357BE6"/>
    <w:rsid w:val="0036045D"/>
    <w:rsid w:val="00361912"/>
    <w:rsid w:val="00363821"/>
    <w:rsid w:val="00367EED"/>
    <w:rsid w:val="0037164A"/>
    <w:rsid w:val="00373563"/>
    <w:rsid w:val="003857F1"/>
    <w:rsid w:val="00387B85"/>
    <w:rsid w:val="00392420"/>
    <w:rsid w:val="003A0048"/>
    <w:rsid w:val="003A787F"/>
    <w:rsid w:val="003C3558"/>
    <w:rsid w:val="003C3BFA"/>
    <w:rsid w:val="003C4699"/>
    <w:rsid w:val="003D3D95"/>
    <w:rsid w:val="003E3322"/>
    <w:rsid w:val="003E3E8D"/>
    <w:rsid w:val="003E4A57"/>
    <w:rsid w:val="003E7AB2"/>
    <w:rsid w:val="003F66DC"/>
    <w:rsid w:val="004005C3"/>
    <w:rsid w:val="00401A46"/>
    <w:rsid w:val="00403FD4"/>
    <w:rsid w:val="00404D66"/>
    <w:rsid w:val="004118B8"/>
    <w:rsid w:val="004153B6"/>
    <w:rsid w:val="004153BA"/>
    <w:rsid w:val="00425837"/>
    <w:rsid w:val="00427910"/>
    <w:rsid w:val="00431DF1"/>
    <w:rsid w:val="00440286"/>
    <w:rsid w:val="00445B6F"/>
    <w:rsid w:val="004518C7"/>
    <w:rsid w:val="00463037"/>
    <w:rsid w:val="004647B6"/>
    <w:rsid w:val="00464E0C"/>
    <w:rsid w:val="00467531"/>
    <w:rsid w:val="00475454"/>
    <w:rsid w:val="0047593B"/>
    <w:rsid w:val="00476534"/>
    <w:rsid w:val="00476B00"/>
    <w:rsid w:val="00481E63"/>
    <w:rsid w:val="004821BA"/>
    <w:rsid w:val="0048414B"/>
    <w:rsid w:val="00485524"/>
    <w:rsid w:val="00493914"/>
    <w:rsid w:val="00493EDC"/>
    <w:rsid w:val="00494090"/>
    <w:rsid w:val="004B1A2D"/>
    <w:rsid w:val="004B3F13"/>
    <w:rsid w:val="004B5416"/>
    <w:rsid w:val="004C1145"/>
    <w:rsid w:val="004C331D"/>
    <w:rsid w:val="004C7960"/>
    <w:rsid w:val="004E00C0"/>
    <w:rsid w:val="004E3469"/>
    <w:rsid w:val="004E6786"/>
    <w:rsid w:val="004F3C96"/>
    <w:rsid w:val="004F4638"/>
    <w:rsid w:val="004F4744"/>
    <w:rsid w:val="004F75D3"/>
    <w:rsid w:val="00503A0E"/>
    <w:rsid w:val="00511401"/>
    <w:rsid w:val="00515364"/>
    <w:rsid w:val="005162F4"/>
    <w:rsid w:val="005163FD"/>
    <w:rsid w:val="00525281"/>
    <w:rsid w:val="00526026"/>
    <w:rsid w:val="005319B3"/>
    <w:rsid w:val="00531A7C"/>
    <w:rsid w:val="00536418"/>
    <w:rsid w:val="00544D2B"/>
    <w:rsid w:val="005558AC"/>
    <w:rsid w:val="005574FC"/>
    <w:rsid w:val="00562704"/>
    <w:rsid w:val="005655A4"/>
    <w:rsid w:val="00566247"/>
    <w:rsid w:val="005759D7"/>
    <w:rsid w:val="00591C14"/>
    <w:rsid w:val="005A0FFC"/>
    <w:rsid w:val="005A1E5D"/>
    <w:rsid w:val="005A7953"/>
    <w:rsid w:val="005C2263"/>
    <w:rsid w:val="005C497A"/>
    <w:rsid w:val="005D1956"/>
    <w:rsid w:val="005D7B58"/>
    <w:rsid w:val="005E6CF9"/>
    <w:rsid w:val="005F0CFD"/>
    <w:rsid w:val="005F3C76"/>
    <w:rsid w:val="006055DE"/>
    <w:rsid w:val="006064FF"/>
    <w:rsid w:val="0061269B"/>
    <w:rsid w:val="00613241"/>
    <w:rsid w:val="00614035"/>
    <w:rsid w:val="00615D03"/>
    <w:rsid w:val="00626E5B"/>
    <w:rsid w:val="0062705C"/>
    <w:rsid w:val="006348B8"/>
    <w:rsid w:val="00645835"/>
    <w:rsid w:val="00646036"/>
    <w:rsid w:val="00647425"/>
    <w:rsid w:val="006503F6"/>
    <w:rsid w:val="00650864"/>
    <w:rsid w:val="006529C4"/>
    <w:rsid w:val="00656C88"/>
    <w:rsid w:val="00657457"/>
    <w:rsid w:val="006611E4"/>
    <w:rsid w:val="0066160B"/>
    <w:rsid w:val="00661688"/>
    <w:rsid w:val="00663AD4"/>
    <w:rsid w:val="00665F4B"/>
    <w:rsid w:val="00672611"/>
    <w:rsid w:val="006736C4"/>
    <w:rsid w:val="00675C0D"/>
    <w:rsid w:val="006837F5"/>
    <w:rsid w:val="00687A07"/>
    <w:rsid w:val="0069008B"/>
    <w:rsid w:val="00690AFB"/>
    <w:rsid w:val="00690BED"/>
    <w:rsid w:val="00691C7C"/>
    <w:rsid w:val="006966E8"/>
    <w:rsid w:val="00697D90"/>
    <w:rsid w:val="006A1EB6"/>
    <w:rsid w:val="006A26FF"/>
    <w:rsid w:val="006A5157"/>
    <w:rsid w:val="006A6689"/>
    <w:rsid w:val="006B4424"/>
    <w:rsid w:val="006B7158"/>
    <w:rsid w:val="006B7AC6"/>
    <w:rsid w:val="006C0EF7"/>
    <w:rsid w:val="006C1ED2"/>
    <w:rsid w:val="006C6797"/>
    <w:rsid w:val="006C7FA8"/>
    <w:rsid w:val="006D2949"/>
    <w:rsid w:val="006D2996"/>
    <w:rsid w:val="006D3C1E"/>
    <w:rsid w:val="006D4AD8"/>
    <w:rsid w:val="006D5EA0"/>
    <w:rsid w:val="006D755C"/>
    <w:rsid w:val="006E6810"/>
    <w:rsid w:val="006E7036"/>
    <w:rsid w:val="006F2A8D"/>
    <w:rsid w:val="006F58AB"/>
    <w:rsid w:val="006F6EA8"/>
    <w:rsid w:val="007012E1"/>
    <w:rsid w:val="00703889"/>
    <w:rsid w:val="00707774"/>
    <w:rsid w:val="00712A5B"/>
    <w:rsid w:val="00712C03"/>
    <w:rsid w:val="00717BF9"/>
    <w:rsid w:val="00717FE1"/>
    <w:rsid w:val="007209B2"/>
    <w:rsid w:val="007343A5"/>
    <w:rsid w:val="00734D1C"/>
    <w:rsid w:val="0073604F"/>
    <w:rsid w:val="007469CC"/>
    <w:rsid w:val="00754532"/>
    <w:rsid w:val="00755DD9"/>
    <w:rsid w:val="00762FA8"/>
    <w:rsid w:val="00763F53"/>
    <w:rsid w:val="00767EEA"/>
    <w:rsid w:val="007718FE"/>
    <w:rsid w:val="0078079D"/>
    <w:rsid w:val="00783046"/>
    <w:rsid w:val="00783096"/>
    <w:rsid w:val="007844A1"/>
    <w:rsid w:val="00787E40"/>
    <w:rsid w:val="00793E57"/>
    <w:rsid w:val="007A1B07"/>
    <w:rsid w:val="007B427C"/>
    <w:rsid w:val="007C53D8"/>
    <w:rsid w:val="007C6638"/>
    <w:rsid w:val="007C7527"/>
    <w:rsid w:val="007D2616"/>
    <w:rsid w:val="007D7AAA"/>
    <w:rsid w:val="007D7B6C"/>
    <w:rsid w:val="007E5ABF"/>
    <w:rsid w:val="007E7A1F"/>
    <w:rsid w:val="007F123D"/>
    <w:rsid w:val="007F1D94"/>
    <w:rsid w:val="007F3D66"/>
    <w:rsid w:val="007F4434"/>
    <w:rsid w:val="007F7E69"/>
    <w:rsid w:val="008016B6"/>
    <w:rsid w:val="00803BED"/>
    <w:rsid w:val="008062DF"/>
    <w:rsid w:val="008076EE"/>
    <w:rsid w:val="00810BDA"/>
    <w:rsid w:val="0081306A"/>
    <w:rsid w:val="00822F03"/>
    <w:rsid w:val="00825FB4"/>
    <w:rsid w:val="008336B3"/>
    <w:rsid w:val="00833D08"/>
    <w:rsid w:val="00836942"/>
    <w:rsid w:val="00842147"/>
    <w:rsid w:val="00845AF3"/>
    <w:rsid w:val="00852491"/>
    <w:rsid w:val="00860A60"/>
    <w:rsid w:val="008618CB"/>
    <w:rsid w:val="00861967"/>
    <w:rsid w:val="00863B76"/>
    <w:rsid w:val="008711E2"/>
    <w:rsid w:val="00873D43"/>
    <w:rsid w:val="00881B54"/>
    <w:rsid w:val="00886F45"/>
    <w:rsid w:val="008929DA"/>
    <w:rsid w:val="00894C95"/>
    <w:rsid w:val="00896D3B"/>
    <w:rsid w:val="008A216F"/>
    <w:rsid w:val="008A50D5"/>
    <w:rsid w:val="008A5936"/>
    <w:rsid w:val="008B2816"/>
    <w:rsid w:val="008B3E35"/>
    <w:rsid w:val="008B72F9"/>
    <w:rsid w:val="008C3F15"/>
    <w:rsid w:val="008C3FC5"/>
    <w:rsid w:val="008C5968"/>
    <w:rsid w:val="008C6AFE"/>
    <w:rsid w:val="008D335A"/>
    <w:rsid w:val="008D6A83"/>
    <w:rsid w:val="008E2729"/>
    <w:rsid w:val="008E32B7"/>
    <w:rsid w:val="008E6D2C"/>
    <w:rsid w:val="008F030E"/>
    <w:rsid w:val="008F2C10"/>
    <w:rsid w:val="008F488B"/>
    <w:rsid w:val="0090041A"/>
    <w:rsid w:val="00900C3B"/>
    <w:rsid w:val="00901650"/>
    <w:rsid w:val="0090322E"/>
    <w:rsid w:val="00904F9A"/>
    <w:rsid w:val="009118A8"/>
    <w:rsid w:val="00915CC3"/>
    <w:rsid w:val="00926968"/>
    <w:rsid w:val="009324DE"/>
    <w:rsid w:val="0093723C"/>
    <w:rsid w:val="0094165F"/>
    <w:rsid w:val="0094638F"/>
    <w:rsid w:val="00951AED"/>
    <w:rsid w:val="00952C9E"/>
    <w:rsid w:val="00953933"/>
    <w:rsid w:val="00954322"/>
    <w:rsid w:val="00954EE4"/>
    <w:rsid w:val="009643B9"/>
    <w:rsid w:val="009649C6"/>
    <w:rsid w:val="009709C3"/>
    <w:rsid w:val="00971724"/>
    <w:rsid w:val="00973775"/>
    <w:rsid w:val="009851AC"/>
    <w:rsid w:val="00985A6F"/>
    <w:rsid w:val="00997CF4"/>
    <w:rsid w:val="009A6DD0"/>
    <w:rsid w:val="009B3A0A"/>
    <w:rsid w:val="009B3EB6"/>
    <w:rsid w:val="009B53A0"/>
    <w:rsid w:val="009C2163"/>
    <w:rsid w:val="009C230B"/>
    <w:rsid w:val="009C395C"/>
    <w:rsid w:val="009C4490"/>
    <w:rsid w:val="009C49D8"/>
    <w:rsid w:val="009C54F2"/>
    <w:rsid w:val="009D1F1A"/>
    <w:rsid w:val="009D35F5"/>
    <w:rsid w:val="009E1B18"/>
    <w:rsid w:val="009E35FD"/>
    <w:rsid w:val="009E3DAC"/>
    <w:rsid w:val="009E58B4"/>
    <w:rsid w:val="009E67A0"/>
    <w:rsid w:val="009F159C"/>
    <w:rsid w:val="009F1C3C"/>
    <w:rsid w:val="009F3340"/>
    <w:rsid w:val="009F52FD"/>
    <w:rsid w:val="00A06540"/>
    <w:rsid w:val="00A0732B"/>
    <w:rsid w:val="00A10870"/>
    <w:rsid w:val="00A16BF5"/>
    <w:rsid w:val="00A17636"/>
    <w:rsid w:val="00A21133"/>
    <w:rsid w:val="00A314DC"/>
    <w:rsid w:val="00A3485F"/>
    <w:rsid w:val="00A35104"/>
    <w:rsid w:val="00A35CCD"/>
    <w:rsid w:val="00A36EED"/>
    <w:rsid w:val="00A41907"/>
    <w:rsid w:val="00A41AAF"/>
    <w:rsid w:val="00A4416F"/>
    <w:rsid w:val="00A446C5"/>
    <w:rsid w:val="00A447D9"/>
    <w:rsid w:val="00A60C05"/>
    <w:rsid w:val="00A630CE"/>
    <w:rsid w:val="00A66A4E"/>
    <w:rsid w:val="00A72118"/>
    <w:rsid w:val="00A738AC"/>
    <w:rsid w:val="00A74E1C"/>
    <w:rsid w:val="00A81A6F"/>
    <w:rsid w:val="00A81F9D"/>
    <w:rsid w:val="00A913C9"/>
    <w:rsid w:val="00A93929"/>
    <w:rsid w:val="00A96FB4"/>
    <w:rsid w:val="00A9773B"/>
    <w:rsid w:val="00AA266F"/>
    <w:rsid w:val="00AA2807"/>
    <w:rsid w:val="00AA4905"/>
    <w:rsid w:val="00AB2EE2"/>
    <w:rsid w:val="00AB4F59"/>
    <w:rsid w:val="00AC2118"/>
    <w:rsid w:val="00AC33AD"/>
    <w:rsid w:val="00AC4429"/>
    <w:rsid w:val="00AC4FB2"/>
    <w:rsid w:val="00AD1398"/>
    <w:rsid w:val="00AD31AB"/>
    <w:rsid w:val="00AD391D"/>
    <w:rsid w:val="00AD3ED4"/>
    <w:rsid w:val="00AD69ED"/>
    <w:rsid w:val="00AD7DD6"/>
    <w:rsid w:val="00AE23D9"/>
    <w:rsid w:val="00AE3B65"/>
    <w:rsid w:val="00AE578E"/>
    <w:rsid w:val="00AF282F"/>
    <w:rsid w:val="00AF5F26"/>
    <w:rsid w:val="00B001F0"/>
    <w:rsid w:val="00B07DFC"/>
    <w:rsid w:val="00B105C9"/>
    <w:rsid w:val="00B15B09"/>
    <w:rsid w:val="00B22E37"/>
    <w:rsid w:val="00B263EE"/>
    <w:rsid w:val="00B26F47"/>
    <w:rsid w:val="00B3143A"/>
    <w:rsid w:val="00B42CEF"/>
    <w:rsid w:val="00B46E9D"/>
    <w:rsid w:val="00B4715D"/>
    <w:rsid w:val="00B47415"/>
    <w:rsid w:val="00B50A9B"/>
    <w:rsid w:val="00B51828"/>
    <w:rsid w:val="00B55866"/>
    <w:rsid w:val="00B5756E"/>
    <w:rsid w:val="00B70057"/>
    <w:rsid w:val="00B703F0"/>
    <w:rsid w:val="00B71B4C"/>
    <w:rsid w:val="00B728AB"/>
    <w:rsid w:val="00B74D6F"/>
    <w:rsid w:val="00B7669E"/>
    <w:rsid w:val="00B83D9D"/>
    <w:rsid w:val="00B86081"/>
    <w:rsid w:val="00B87A6B"/>
    <w:rsid w:val="00B87A76"/>
    <w:rsid w:val="00B93ED2"/>
    <w:rsid w:val="00B95245"/>
    <w:rsid w:val="00B97271"/>
    <w:rsid w:val="00BA0E0B"/>
    <w:rsid w:val="00BA6055"/>
    <w:rsid w:val="00BB2E13"/>
    <w:rsid w:val="00BB55E0"/>
    <w:rsid w:val="00BB673E"/>
    <w:rsid w:val="00BB750C"/>
    <w:rsid w:val="00BC0A79"/>
    <w:rsid w:val="00BC78E2"/>
    <w:rsid w:val="00BD05D3"/>
    <w:rsid w:val="00BD1E04"/>
    <w:rsid w:val="00BD61F7"/>
    <w:rsid w:val="00BE1545"/>
    <w:rsid w:val="00BE644A"/>
    <w:rsid w:val="00BF0BED"/>
    <w:rsid w:val="00BF288E"/>
    <w:rsid w:val="00BF45C4"/>
    <w:rsid w:val="00BF4A8E"/>
    <w:rsid w:val="00BF6908"/>
    <w:rsid w:val="00C005BF"/>
    <w:rsid w:val="00C03FD6"/>
    <w:rsid w:val="00C13CBB"/>
    <w:rsid w:val="00C14745"/>
    <w:rsid w:val="00C15DCD"/>
    <w:rsid w:val="00C15ED1"/>
    <w:rsid w:val="00C178E2"/>
    <w:rsid w:val="00C17BB1"/>
    <w:rsid w:val="00C23253"/>
    <w:rsid w:val="00C24B2F"/>
    <w:rsid w:val="00C255F8"/>
    <w:rsid w:val="00C2636E"/>
    <w:rsid w:val="00C33276"/>
    <w:rsid w:val="00C3365F"/>
    <w:rsid w:val="00C442DF"/>
    <w:rsid w:val="00C52A26"/>
    <w:rsid w:val="00C542E6"/>
    <w:rsid w:val="00C55050"/>
    <w:rsid w:val="00C618B0"/>
    <w:rsid w:val="00C70118"/>
    <w:rsid w:val="00C7365F"/>
    <w:rsid w:val="00C76099"/>
    <w:rsid w:val="00C80823"/>
    <w:rsid w:val="00C80B7B"/>
    <w:rsid w:val="00C812DD"/>
    <w:rsid w:val="00C92A2E"/>
    <w:rsid w:val="00CA2F40"/>
    <w:rsid w:val="00CA53BE"/>
    <w:rsid w:val="00CA5B93"/>
    <w:rsid w:val="00CA5CE9"/>
    <w:rsid w:val="00CB122A"/>
    <w:rsid w:val="00CB1C60"/>
    <w:rsid w:val="00CB1EB4"/>
    <w:rsid w:val="00CB26A2"/>
    <w:rsid w:val="00CB5AA5"/>
    <w:rsid w:val="00CC0A48"/>
    <w:rsid w:val="00CC4E65"/>
    <w:rsid w:val="00CC54D7"/>
    <w:rsid w:val="00CD1045"/>
    <w:rsid w:val="00CD35D9"/>
    <w:rsid w:val="00CD499F"/>
    <w:rsid w:val="00CD5685"/>
    <w:rsid w:val="00CD6518"/>
    <w:rsid w:val="00CD77B9"/>
    <w:rsid w:val="00CE1934"/>
    <w:rsid w:val="00CE2233"/>
    <w:rsid w:val="00CE35C0"/>
    <w:rsid w:val="00CE5496"/>
    <w:rsid w:val="00CE5D0C"/>
    <w:rsid w:val="00CF1099"/>
    <w:rsid w:val="00CF417C"/>
    <w:rsid w:val="00CF6D3A"/>
    <w:rsid w:val="00D013A9"/>
    <w:rsid w:val="00D07F06"/>
    <w:rsid w:val="00D10104"/>
    <w:rsid w:val="00D119E2"/>
    <w:rsid w:val="00D12A70"/>
    <w:rsid w:val="00D15392"/>
    <w:rsid w:val="00D16451"/>
    <w:rsid w:val="00D17BBA"/>
    <w:rsid w:val="00D20594"/>
    <w:rsid w:val="00D24877"/>
    <w:rsid w:val="00D24FA7"/>
    <w:rsid w:val="00D25156"/>
    <w:rsid w:val="00D26CE2"/>
    <w:rsid w:val="00D3250A"/>
    <w:rsid w:val="00D32927"/>
    <w:rsid w:val="00D32C22"/>
    <w:rsid w:val="00D37C1A"/>
    <w:rsid w:val="00D40D69"/>
    <w:rsid w:val="00D42BFA"/>
    <w:rsid w:val="00D56030"/>
    <w:rsid w:val="00D60B41"/>
    <w:rsid w:val="00D70BBF"/>
    <w:rsid w:val="00D70F84"/>
    <w:rsid w:val="00D71A54"/>
    <w:rsid w:val="00D72B99"/>
    <w:rsid w:val="00D81F4A"/>
    <w:rsid w:val="00D8202C"/>
    <w:rsid w:val="00D82BEB"/>
    <w:rsid w:val="00D8448E"/>
    <w:rsid w:val="00D86059"/>
    <w:rsid w:val="00D92058"/>
    <w:rsid w:val="00DA0D95"/>
    <w:rsid w:val="00DA3EA5"/>
    <w:rsid w:val="00DA5AEF"/>
    <w:rsid w:val="00DB404A"/>
    <w:rsid w:val="00DB7171"/>
    <w:rsid w:val="00DB7F23"/>
    <w:rsid w:val="00DC188A"/>
    <w:rsid w:val="00DC2F50"/>
    <w:rsid w:val="00DD11A4"/>
    <w:rsid w:val="00DD26BF"/>
    <w:rsid w:val="00DD59DC"/>
    <w:rsid w:val="00DD600F"/>
    <w:rsid w:val="00DD7DD0"/>
    <w:rsid w:val="00DE6077"/>
    <w:rsid w:val="00DE646A"/>
    <w:rsid w:val="00DE7612"/>
    <w:rsid w:val="00DF5E09"/>
    <w:rsid w:val="00DF636E"/>
    <w:rsid w:val="00E011C2"/>
    <w:rsid w:val="00E02C5F"/>
    <w:rsid w:val="00E03A3F"/>
    <w:rsid w:val="00E04BA1"/>
    <w:rsid w:val="00E0542A"/>
    <w:rsid w:val="00E10ED5"/>
    <w:rsid w:val="00E12455"/>
    <w:rsid w:val="00E14BAF"/>
    <w:rsid w:val="00E14BB9"/>
    <w:rsid w:val="00E14CA0"/>
    <w:rsid w:val="00E20325"/>
    <w:rsid w:val="00E21012"/>
    <w:rsid w:val="00E2355C"/>
    <w:rsid w:val="00E3499F"/>
    <w:rsid w:val="00E41CD1"/>
    <w:rsid w:val="00E42D69"/>
    <w:rsid w:val="00E51872"/>
    <w:rsid w:val="00E61C0E"/>
    <w:rsid w:val="00E61E46"/>
    <w:rsid w:val="00E66FFF"/>
    <w:rsid w:val="00E70A02"/>
    <w:rsid w:val="00E7121C"/>
    <w:rsid w:val="00E728E7"/>
    <w:rsid w:val="00E74D2F"/>
    <w:rsid w:val="00E766C5"/>
    <w:rsid w:val="00E8460C"/>
    <w:rsid w:val="00E871B6"/>
    <w:rsid w:val="00E918A2"/>
    <w:rsid w:val="00E9503E"/>
    <w:rsid w:val="00E95C7D"/>
    <w:rsid w:val="00EA42D6"/>
    <w:rsid w:val="00EA590C"/>
    <w:rsid w:val="00EB15AB"/>
    <w:rsid w:val="00EB37FC"/>
    <w:rsid w:val="00EB3CD9"/>
    <w:rsid w:val="00EB3DE0"/>
    <w:rsid w:val="00EB455B"/>
    <w:rsid w:val="00EB55AF"/>
    <w:rsid w:val="00EB71A5"/>
    <w:rsid w:val="00EC59AC"/>
    <w:rsid w:val="00ED0871"/>
    <w:rsid w:val="00ED0F40"/>
    <w:rsid w:val="00ED1E2A"/>
    <w:rsid w:val="00ED575E"/>
    <w:rsid w:val="00ED5C64"/>
    <w:rsid w:val="00ED5F7E"/>
    <w:rsid w:val="00ED6F1F"/>
    <w:rsid w:val="00ED7061"/>
    <w:rsid w:val="00EE1C3E"/>
    <w:rsid w:val="00EE6D01"/>
    <w:rsid w:val="00EE7CC7"/>
    <w:rsid w:val="00EF6BFE"/>
    <w:rsid w:val="00F043C8"/>
    <w:rsid w:val="00F04400"/>
    <w:rsid w:val="00F05477"/>
    <w:rsid w:val="00F06700"/>
    <w:rsid w:val="00F074C7"/>
    <w:rsid w:val="00F07A5B"/>
    <w:rsid w:val="00F12DDC"/>
    <w:rsid w:val="00F1301C"/>
    <w:rsid w:val="00F172AC"/>
    <w:rsid w:val="00F35E89"/>
    <w:rsid w:val="00F4237D"/>
    <w:rsid w:val="00F6186B"/>
    <w:rsid w:val="00F62973"/>
    <w:rsid w:val="00F637D5"/>
    <w:rsid w:val="00F74D13"/>
    <w:rsid w:val="00F753EA"/>
    <w:rsid w:val="00F90620"/>
    <w:rsid w:val="00F933AC"/>
    <w:rsid w:val="00FA07DA"/>
    <w:rsid w:val="00FA257C"/>
    <w:rsid w:val="00FA3B58"/>
    <w:rsid w:val="00FB0A1B"/>
    <w:rsid w:val="00FB61E0"/>
    <w:rsid w:val="00FC1FD6"/>
    <w:rsid w:val="00FD2140"/>
    <w:rsid w:val="00FD2172"/>
    <w:rsid w:val="00FD21A5"/>
    <w:rsid w:val="00FD2732"/>
    <w:rsid w:val="00FD29DB"/>
    <w:rsid w:val="00FD33FE"/>
    <w:rsid w:val="00FD3DD3"/>
    <w:rsid w:val="00FD6675"/>
    <w:rsid w:val="00FE1D7C"/>
    <w:rsid w:val="00FE28E0"/>
    <w:rsid w:val="00FE53E8"/>
    <w:rsid w:val="00FF2526"/>
    <w:rsid w:val="00FF2577"/>
    <w:rsid w:val="00FF6C3A"/>
    <w:rsid w:val="01211E2A"/>
    <w:rsid w:val="01287F5C"/>
    <w:rsid w:val="01317F69"/>
    <w:rsid w:val="01391AA3"/>
    <w:rsid w:val="015F69A2"/>
    <w:rsid w:val="01911652"/>
    <w:rsid w:val="01AB39F5"/>
    <w:rsid w:val="01B379C7"/>
    <w:rsid w:val="01B77C58"/>
    <w:rsid w:val="01D15C6E"/>
    <w:rsid w:val="01D6466C"/>
    <w:rsid w:val="01E53914"/>
    <w:rsid w:val="01F015A6"/>
    <w:rsid w:val="01F955E3"/>
    <w:rsid w:val="0204307B"/>
    <w:rsid w:val="020739DD"/>
    <w:rsid w:val="021653B1"/>
    <w:rsid w:val="02190735"/>
    <w:rsid w:val="022659DD"/>
    <w:rsid w:val="02274EC8"/>
    <w:rsid w:val="026003DA"/>
    <w:rsid w:val="026441E1"/>
    <w:rsid w:val="0264611C"/>
    <w:rsid w:val="0274647E"/>
    <w:rsid w:val="02783566"/>
    <w:rsid w:val="027D0DB5"/>
    <w:rsid w:val="027F4D04"/>
    <w:rsid w:val="029B3123"/>
    <w:rsid w:val="029F6342"/>
    <w:rsid w:val="02A00FF1"/>
    <w:rsid w:val="02A325A3"/>
    <w:rsid w:val="02A5282B"/>
    <w:rsid w:val="02AD423B"/>
    <w:rsid w:val="02CB51D4"/>
    <w:rsid w:val="02DE1B68"/>
    <w:rsid w:val="02E03B0B"/>
    <w:rsid w:val="02E87E06"/>
    <w:rsid w:val="02F079B0"/>
    <w:rsid w:val="02FA7E64"/>
    <w:rsid w:val="030A1B56"/>
    <w:rsid w:val="030C79CF"/>
    <w:rsid w:val="03261624"/>
    <w:rsid w:val="033602E7"/>
    <w:rsid w:val="03630182"/>
    <w:rsid w:val="036C34DA"/>
    <w:rsid w:val="037759DB"/>
    <w:rsid w:val="03812B09"/>
    <w:rsid w:val="03A14A53"/>
    <w:rsid w:val="03B03EBF"/>
    <w:rsid w:val="03B64405"/>
    <w:rsid w:val="03E33071"/>
    <w:rsid w:val="03EF0ED6"/>
    <w:rsid w:val="040632C8"/>
    <w:rsid w:val="04073203"/>
    <w:rsid w:val="0414401B"/>
    <w:rsid w:val="04155920"/>
    <w:rsid w:val="0427257C"/>
    <w:rsid w:val="043B4C5B"/>
    <w:rsid w:val="044A30F0"/>
    <w:rsid w:val="044A357E"/>
    <w:rsid w:val="044E498E"/>
    <w:rsid w:val="04591908"/>
    <w:rsid w:val="04614AE6"/>
    <w:rsid w:val="047C6EF7"/>
    <w:rsid w:val="04877EA0"/>
    <w:rsid w:val="048835E4"/>
    <w:rsid w:val="048F77E8"/>
    <w:rsid w:val="04912ACD"/>
    <w:rsid w:val="049A2855"/>
    <w:rsid w:val="049F5DCE"/>
    <w:rsid w:val="04A40A52"/>
    <w:rsid w:val="04B70785"/>
    <w:rsid w:val="04B873EB"/>
    <w:rsid w:val="04C133B2"/>
    <w:rsid w:val="04C9495C"/>
    <w:rsid w:val="04CD030F"/>
    <w:rsid w:val="04D255BF"/>
    <w:rsid w:val="04E1002C"/>
    <w:rsid w:val="04ED13BD"/>
    <w:rsid w:val="04ED3A23"/>
    <w:rsid w:val="04F30D3D"/>
    <w:rsid w:val="04FC7471"/>
    <w:rsid w:val="04FE4606"/>
    <w:rsid w:val="05094D59"/>
    <w:rsid w:val="050A6429"/>
    <w:rsid w:val="051200B1"/>
    <w:rsid w:val="0526065A"/>
    <w:rsid w:val="05353DA0"/>
    <w:rsid w:val="05472A88"/>
    <w:rsid w:val="054A2330"/>
    <w:rsid w:val="054E09BE"/>
    <w:rsid w:val="054E467A"/>
    <w:rsid w:val="057B11A7"/>
    <w:rsid w:val="058816F0"/>
    <w:rsid w:val="05993DE2"/>
    <w:rsid w:val="05A827C4"/>
    <w:rsid w:val="05AE63A0"/>
    <w:rsid w:val="05BB1137"/>
    <w:rsid w:val="05FB6D97"/>
    <w:rsid w:val="06040F34"/>
    <w:rsid w:val="062E0FB2"/>
    <w:rsid w:val="063A78C0"/>
    <w:rsid w:val="06450692"/>
    <w:rsid w:val="065C3A04"/>
    <w:rsid w:val="06704387"/>
    <w:rsid w:val="067B57E2"/>
    <w:rsid w:val="069D7E4F"/>
    <w:rsid w:val="06A27213"/>
    <w:rsid w:val="06BA27AF"/>
    <w:rsid w:val="06C90C44"/>
    <w:rsid w:val="06D35858"/>
    <w:rsid w:val="06E55C44"/>
    <w:rsid w:val="06EE06AA"/>
    <w:rsid w:val="070103DE"/>
    <w:rsid w:val="07017172"/>
    <w:rsid w:val="07100621"/>
    <w:rsid w:val="07204595"/>
    <w:rsid w:val="07230354"/>
    <w:rsid w:val="07261BF2"/>
    <w:rsid w:val="072E0AA7"/>
    <w:rsid w:val="075C5614"/>
    <w:rsid w:val="07651DD8"/>
    <w:rsid w:val="07666493"/>
    <w:rsid w:val="078B414B"/>
    <w:rsid w:val="079B4EAA"/>
    <w:rsid w:val="079F3753"/>
    <w:rsid w:val="07A1571D"/>
    <w:rsid w:val="07AF7E3A"/>
    <w:rsid w:val="07C739AD"/>
    <w:rsid w:val="07D96C64"/>
    <w:rsid w:val="07E55609"/>
    <w:rsid w:val="080D690E"/>
    <w:rsid w:val="0822097E"/>
    <w:rsid w:val="082A3964"/>
    <w:rsid w:val="08387E2F"/>
    <w:rsid w:val="083E30C4"/>
    <w:rsid w:val="083F6E91"/>
    <w:rsid w:val="08430582"/>
    <w:rsid w:val="084B4881"/>
    <w:rsid w:val="085602B5"/>
    <w:rsid w:val="085A5CCA"/>
    <w:rsid w:val="087A52B2"/>
    <w:rsid w:val="088A5836"/>
    <w:rsid w:val="08985469"/>
    <w:rsid w:val="08D412B5"/>
    <w:rsid w:val="08DB4092"/>
    <w:rsid w:val="08DF64FD"/>
    <w:rsid w:val="08E41D65"/>
    <w:rsid w:val="08FF26FB"/>
    <w:rsid w:val="090E6DE2"/>
    <w:rsid w:val="091268D2"/>
    <w:rsid w:val="0916257D"/>
    <w:rsid w:val="091F316B"/>
    <w:rsid w:val="092E4D8E"/>
    <w:rsid w:val="0935700F"/>
    <w:rsid w:val="094D34D3"/>
    <w:rsid w:val="094D579B"/>
    <w:rsid w:val="095376BF"/>
    <w:rsid w:val="095742E5"/>
    <w:rsid w:val="096C4286"/>
    <w:rsid w:val="09734E97"/>
    <w:rsid w:val="0976773B"/>
    <w:rsid w:val="097E5D15"/>
    <w:rsid w:val="0983332C"/>
    <w:rsid w:val="09960CA8"/>
    <w:rsid w:val="09A6701A"/>
    <w:rsid w:val="09BA4874"/>
    <w:rsid w:val="09DE0562"/>
    <w:rsid w:val="09E671EC"/>
    <w:rsid w:val="09F55E29"/>
    <w:rsid w:val="0A073F5D"/>
    <w:rsid w:val="0A0D1961"/>
    <w:rsid w:val="0A295E07"/>
    <w:rsid w:val="0A2F67FF"/>
    <w:rsid w:val="0A360B6D"/>
    <w:rsid w:val="0A466107"/>
    <w:rsid w:val="0A7B2255"/>
    <w:rsid w:val="0A8D4287"/>
    <w:rsid w:val="0A913826"/>
    <w:rsid w:val="0A92134D"/>
    <w:rsid w:val="0AB539B9"/>
    <w:rsid w:val="0AC37758"/>
    <w:rsid w:val="0AC54C82"/>
    <w:rsid w:val="0ADB2BEE"/>
    <w:rsid w:val="0ADB7197"/>
    <w:rsid w:val="0B297839"/>
    <w:rsid w:val="0B334F8A"/>
    <w:rsid w:val="0B550A86"/>
    <w:rsid w:val="0B584344"/>
    <w:rsid w:val="0B5D195B"/>
    <w:rsid w:val="0B6D6042"/>
    <w:rsid w:val="0B6E3B68"/>
    <w:rsid w:val="0B720CBA"/>
    <w:rsid w:val="0B755AA9"/>
    <w:rsid w:val="0B9A07FC"/>
    <w:rsid w:val="0B9C2483"/>
    <w:rsid w:val="0B9D6BAD"/>
    <w:rsid w:val="0B9E444D"/>
    <w:rsid w:val="0BA371A9"/>
    <w:rsid w:val="0BA92DF2"/>
    <w:rsid w:val="0BAD40B0"/>
    <w:rsid w:val="0BB774B4"/>
    <w:rsid w:val="0BB974D9"/>
    <w:rsid w:val="0BBD3EB9"/>
    <w:rsid w:val="0BC35B2F"/>
    <w:rsid w:val="0BC639A4"/>
    <w:rsid w:val="0BD60374"/>
    <w:rsid w:val="0BDB744F"/>
    <w:rsid w:val="0BF95B27"/>
    <w:rsid w:val="0C08754A"/>
    <w:rsid w:val="0C0A1AE2"/>
    <w:rsid w:val="0C0F7A1D"/>
    <w:rsid w:val="0C195799"/>
    <w:rsid w:val="0C1E558E"/>
    <w:rsid w:val="0C2032F1"/>
    <w:rsid w:val="0C2272F9"/>
    <w:rsid w:val="0C2D757F"/>
    <w:rsid w:val="0C3B7EEE"/>
    <w:rsid w:val="0C3C5A14"/>
    <w:rsid w:val="0C3E79DE"/>
    <w:rsid w:val="0C403756"/>
    <w:rsid w:val="0C564D28"/>
    <w:rsid w:val="0C590374"/>
    <w:rsid w:val="0C6D2677"/>
    <w:rsid w:val="0C71390F"/>
    <w:rsid w:val="0C902EA8"/>
    <w:rsid w:val="0C9336AD"/>
    <w:rsid w:val="0CA14F93"/>
    <w:rsid w:val="0CC94EBC"/>
    <w:rsid w:val="0CCF4ADA"/>
    <w:rsid w:val="0CEC743A"/>
    <w:rsid w:val="0CEF2A86"/>
    <w:rsid w:val="0CF57932"/>
    <w:rsid w:val="0CFC6D53"/>
    <w:rsid w:val="0D0A3EB7"/>
    <w:rsid w:val="0D182FB0"/>
    <w:rsid w:val="0D215336"/>
    <w:rsid w:val="0D31155A"/>
    <w:rsid w:val="0D34700F"/>
    <w:rsid w:val="0D5004E9"/>
    <w:rsid w:val="0D5154EF"/>
    <w:rsid w:val="0D556D8D"/>
    <w:rsid w:val="0D723A58"/>
    <w:rsid w:val="0D765A12"/>
    <w:rsid w:val="0D906E06"/>
    <w:rsid w:val="0D921D8F"/>
    <w:rsid w:val="0DAF0B93"/>
    <w:rsid w:val="0DB8731C"/>
    <w:rsid w:val="0DD072A0"/>
    <w:rsid w:val="0DE3108D"/>
    <w:rsid w:val="0DE75374"/>
    <w:rsid w:val="0DFA5B87"/>
    <w:rsid w:val="0DFD0FF8"/>
    <w:rsid w:val="0E0028BD"/>
    <w:rsid w:val="0E067EA7"/>
    <w:rsid w:val="0E097B78"/>
    <w:rsid w:val="0E2E6AF4"/>
    <w:rsid w:val="0E2F4A8A"/>
    <w:rsid w:val="0E323572"/>
    <w:rsid w:val="0E39045D"/>
    <w:rsid w:val="0E527771"/>
    <w:rsid w:val="0E795140"/>
    <w:rsid w:val="0EA04B01"/>
    <w:rsid w:val="0EA97C9F"/>
    <w:rsid w:val="0EB16245"/>
    <w:rsid w:val="0EB2020F"/>
    <w:rsid w:val="0ECD6DF7"/>
    <w:rsid w:val="0EE06B2A"/>
    <w:rsid w:val="0EE80FF9"/>
    <w:rsid w:val="0F0720BC"/>
    <w:rsid w:val="0F0A6E2C"/>
    <w:rsid w:val="0F182768"/>
    <w:rsid w:val="0F1A1821"/>
    <w:rsid w:val="0F3338E7"/>
    <w:rsid w:val="0F334EAC"/>
    <w:rsid w:val="0F39623B"/>
    <w:rsid w:val="0F44355D"/>
    <w:rsid w:val="0F694655"/>
    <w:rsid w:val="0F786C55"/>
    <w:rsid w:val="0F7B6521"/>
    <w:rsid w:val="0F953DB9"/>
    <w:rsid w:val="0FB81855"/>
    <w:rsid w:val="0FBF4992"/>
    <w:rsid w:val="0FBF7C16"/>
    <w:rsid w:val="0FC46FEB"/>
    <w:rsid w:val="0FE10DAC"/>
    <w:rsid w:val="0FE71E38"/>
    <w:rsid w:val="0FF85EDB"/>
    <w:rsid w:val="10037665"/>
    <w:rsid w:val="10125409"/>
    <w:rsid w:val="10223384"/>
    <w:rsid w:val="102951AB"/>
    <w:rsid w:val="1041184B"/>
    <w:rsid w:val="104D0706"/>
    <w:rsid w:val="10525806"/>
    <w:rsid w:val="10600C5C"/>
    <w:rsid w:val="10725EA8"/>
    <w:rsid w:val="108D4A90"/>
    <w:rsid w:val="108F6A5A"/>
    <w:rsid w:val="1094120F"/>
    <w:rsid w:val="1096546A"/>
    <w:rsid w:val="1097230C"/>
    <w:rsid w:val="10A5002C"/>
    <w:rsid w:val="10CD6AFE"/>
    <w:rsid w:val="10EC4FDE"/>
    <w:rsid w:val="10FA3CDC"/>
    <w:rsid w:val="110C3C07"/>
    <w:rsid w:val="113413B0"/>
    <w:rsid w:val="113C0C99"/>
    <w:rsid w:val="113D0264"/>
    <w:rsid w:val="11430879"/>
    <w:rsid w:val="1154735C"/>
    <w:rsid w:val="115C68DE"/>
    <w:rsid w:val="11796EDC"/>
    <w:rsid w:val="119B4F8B"/>
    <w:rsid w:val="11A025A1"/>
    <w:rsid w:val="11A77DD3"/>
    <w:rsid w:val="11E55436"/>
    <w:rsid w:val="11F207E9"/>
    <w:rsid w:val="11F50B3F"/>
    <w:rsid w:val="11FA160D"/>
    <w:rsid w:val="12042934"/>
    <w:rsid w:val="120C4828"/>
    <w:rsid w:val="120E7664"/>
    <w:rsid w:val="1211776B"/>
    <w:rsid w:val="12185725"/>
    <w:rsid w:val="121A14E4"/>
    <w:rsid w:val="1224631A"/>
    <w:rsid w:val="122B64B4"/>
    <w:rsid w:val="12386C7D"/>
    <w:rsid w:val="12434F9C"/>
    <w:rsid w:val="12435D4E"/>
    <w:rsid w:val="125A33FD"/>
    <w:rsid w:val="125D37A7"/>
    <w:rsid w:val="12704669"/>
    <w:rsid w:val="12851EC3"/>
    <w:rsid w:val="1292638E"/>
    <w:rsid w:val="129357F9"/>
    <w:rsid w:val="1297339E"/>
    <w:rsid w:val="12A14823"/>
    <w:rsid w:val="12A83E03"/>
    <w:rsid w:val="12AD31C8"/>
    <w:rsid w:val="12BC536A"/>
    <w:rsid w:val="12BE7183"/>
    <w:rsid w:val="12C14EC5"/>
    <w:rsid w:val="12C22190"/>
    <w:rsid w:val="12C406C8"/>
    <w:rsid w:val="12C56B71"/>
    <w:rsid w:val="12E7743C"/>
    <w:rsid w:val="12F157AA"/>
    <w:rsid w:val="12F86B39"/>
    <w:rsid w:val="131F4DFC"/>
    <w:rsid w:val="132642A6"/>
    <w:rsid w:val="132754F7"/>
    <w:rsid w:val="132F322B"/>
    <w:rsid w:val="133833D9"/>
    <w:rsid w:val="135829B4"/>
    <w:rsid w:val="136E0BA9"/>
    <w:rsid w:val="1371525C"/>
    <w:rsid w:val="139310FE"/>
    <w:rsid w:val="139323BD"/>
    <w:rsid w:val="13AC16D1"/>
    <w:rsid w:val="13AF6871"/>
    <w:rsid w:val="13B23DFD"/>
    <w:rsid w:val="13C457A1"/>
    <w:rsid w:val="13E76168"/>
    <w:rsid w:val="13EE324E"/>
    <w:rsid w:val="13FE2369"/>
    <w:rsid w:val="140908D1"/>
    <w:rsid w:val="140B464A"/>
    <w:rsid w:val="14107EB2"/>
    <w:rsid w:val="141352AC"/>
    <w:rsid w:val="14172FEE"/>
    <w:rsid w:val="14196E38"/>
    <w:rsid w:val="14341A95"/>
    <w:rsid w:val="143A4F2F"/>
    <w:rsid w:val="1442132A"/>
    <w:rsid w:val="145329CD"/>
    <w:rsid w:val="146B35A3"/>
    <w:rsid w:val="147C5547"/>
    <w:rsid w:val="14830684"/>
    <w:rsid w:val="149A0F1C"/>
    <w:rsid w:val="14A80B22"/>
    <w:rsid w:val="14AB7BDB"/>
    <w:rsid w:val="14CE4D4D"/>
    <w:rsid w:val="14D15E38"/>
    <w:rsid w:val="14E32ED1"/>
    <w:rsid w:val="14EE644B"/>
    <w:rsid w:val="15001ED4"/>
    <w:rsid w:val="150F0169"/>
    <w:rsid w:val="15270331"/>
    <w:rsid w:val="152738F7"/>
    <w:rsid w:val="152F3C74"/>
    <w:rsid w:val="15316332"/>
    <w:rsid w:val="15334D63"/>
    <w:rsid w:val="155B11DF"/>
    <w:rsid w:val="15820928"/>
    <w:rsid w:val="1583585B"/>
    <w:rsid w:val="15916DD0"/>
    <w:rsid w:val="15997A33"/>
    <w:rsid w:val="15A703A2"/>
    <w:rsid w:val="15BB5BFB"/>
    <w:rsid w:val="15BE1E47"/>
    <w:rsid w:val="15C43358"/>
    <w:rsid w:val="15D35531"/>
    <w:rsid w:val="15EA64E1"/>
    <w:rsid w:val="15EC4007"/>
    <w:rsid w:val="15FE254A"/>
    <w:rsid w:val="15FF1F8C"/>
    <w:rsid w:val="1638549E"/>
    <w:rsid w:val="163D6FD8"/>
    <w:rsid w:val="16404A39"/>
    <w:rsid w:val="164B2B3A"/>
    <w:rsid w:val="165539DA"/>
    <w:rsid w:val="165878EE"/>
    <w:rsid w:val="166E61B7"/>
    <w:rsid w:val="16A65CAE"/>
    <w:rsid w:val="16A91EF8"/>
    <w:rsid w:val="16C87315"/>
    <w:rsid w:val="16DA6555"/>
    <w:rsid w:val="16DB47A7"/>
    <w:rsid w:val="16DC5DBE"/>
    <w:rsid w:val="16DE6793"/>
    <w:rsid w:val="16EB2510"/>
    <w:rsid w:val="16EB42BE"/>
    <w:rsid w:val="16ED44DA"/>
    <w:rsid w:val="16F31A11"/>
    <w:rsid w:val="16F5513D"/>
    <w:rsid w:val="17070757"/>
    <w:rsid w:val="173E6F16"/>
    <w:rsid w:val="17453497"/>
    <w:rsid w:val="174F22CC"/>
    <w:rsid w:val="17560E52"/>
    <w:rsid w:val="17582776"/>
    <w:rsid w:val="175C6F6A"/>
    <w:rsid w:val="1797236A"/>
    <w:rsid w:val="179E3A27"/>
    <w:rsid w:val="17A4103D"/>
    <w:rsid w:val="17BA0860"/>
    <w:rsid w:val="17BD2487"/>
    <w:rsid w:val="17C96435"/>
    <w:rsid w:val="17CA0378"/>
    <w:rsid w:val="17E34FEF"/>
    <w:rsid w:val="17EC3205"/>
    <w:rsid w:val="17EE4066"/>
    <w:rsid w:val="17F72AB1"/>
    <w:rsid w:val="17FB2C27"/>
    <w:rsid w:val="180A4C18"/>
    <w:rsid w:val="181066D2"/>
    <w:rsid w:val="182F467F"/>
    <w:rsid w:val="18341265"/>
    <w:rsid w:val="18585984"/>
    <w:rsid w:val="185D743E"/>
    <w:rsid w:val="189F1804"/>
    <w:rsid w:val="18A60DE5"/>
    <w:rsid w:val="18AB1F57"/>
    <w:rsid w:val="18B31317"/>
    <w:rsid w:val="18B828C6"/>
    <w:rsid w:val="18B84674"/>
    <w:rsid w:val="18C415CE"/>
    <w:rsid w:val="18C965C0"/>
    <w:rsid w:val="18DA4648"/>
    <w:rsid w:val="18EA3FB7"/>
    <w:rsid w:val="18FF22A3"/>
    <w:rsid w:val="192733FC"/>
    <w:rsid w:val="192F0DDA"/>
    <w:rsid w:val="193D73C9"/>
    <w:rsid w:val="195023EF"/>
    <w:rsid w:val="195425EF"/>
    <w:rsid w:val="196547FC"/>
    <w:rsid w:val="19706CFD"/>
    <w:rsid w:val="19763EFC"/>
    <w:rsid w:val="19874772"/>
    <w:rsid w:val="19C71013"/>
    <w:rsid w:val="19CE6606"/>
    <w:rsid w:val="19D454DE"/>
    <w:rsid w:val="19DF26F1"/>
    <w:rsid w:val="19E31528"/>
    <w:rsid w:val="1A057D8D"/>
    <w:rsid w:val="1A077661"/>
    <w:rsid w:val="1A141972"/>
    <w:rsid w:val="1A143DF9"/>
    <w:rsid w:val="1A400152"/>
    <w:rsid w:val="1A473B85"/>
    <w:rsid w:val="1A4E703E"/>
    <w:rsid w:val="1A622AE9"/>
    <w:rsid w:val="1A693AC2"/>
    <w:rsid w:val="1A7174D1"/>
    <w:rsid w:val="1A7C64C5"/>
    <w:rsid w:val="1A8D6144"/>
    <w:rsid w:val="1A8E7D82"/>
    <w:rsid w:val="1A995465"/>
    <w:rsid w:val="1A9A6727"/>
    <w:rsid w:val="1AAE759F"/>
    <w:rsid w:val="1AE717AC"/>
    <w:rsid w:val="1AE7638C"/>
    <w:rsid w:val="1AEA675D"/>
    <w:rsid w:val="1AFD0A64"/>
    <w:rsid w:val="1B0E3F49"/>
    <w:rsid w:val="1B291859"/>
    <w:rsid w:val="1B3171D1"/>
    <w:rsid w:val="1B345B92"/>
    <w:rsid w:val="1B385164"/>
    <w:rsid w:val="1B395F40"/>
    <w:rsid w:val="1B6034CD"/>
    <w:rsid w:val="1B762CF0"/>
    <w:rsid w:val="1B767316"/>
    <w:rsid w:val="1B7E7DF7"/>
    <w:rsid w:val="1B8B6070"/>
    <w:rsid w:val="1BA80405"/>
    <w:rsid w:val="1BB34C01"/>
    <w:rsid w:val="1BC56EEA"/>
    <w:rsid w:val="1BC7354C"/>
    <w:rsid w:val="1BD30E1D"/>
    <w:rsid w:val="1BD45C69"/>
    <w:rsid w:val="1BD83E45"/>
    <w:rsid w:val="1BEA4254"/>
    <w:rsid w:val="1C0539CF"/>
    <w:rsid w:val="1C0A5D97"/>
    <w:rsid w:val="1C142509"/>
    <w:rsid w:val="1C2269D4"/>
    <w:rsid w:val="1C284B16"/>
    <w:rsid w:val="1C302E5D"/>
    <w:rsid w:val="1C354E80"/>
    <w:rsid w:val="1C4F74BB"/>
    <w:rsid w:val="1C6A6B78"/>
    <w:rsid w:val="1C6E7E6B"/>
    <w:rsid w:val="1CB70417"/>
    <w:rsid w:val="1CBC09C8"/>
    <w:rsid w:val="1CBF1F50"/>
    <w:rsid w:val="1CCA54B9"/>
    <w:rsid w:val="1CE43C8A"/>
    <w:rsid w:val="1D1633DB"/>
    <w:rsid w:val="1D305121"/>
    <w:rsid w:val="1D306ECF"/>
    <w:rsid w:val="1D39655E"/>
    <w:rsid w:val="1D645FB9"/>
    <w:rsid w:val="1D682B0D"/>
    <w:rsid w:val="1D6B7F07"/>
    <w:rsid w:val="1D6C3CB5"/>
    <w:rsid w:val="1D725191"/>
    <w:rsid w:val="1D74003F"/>
    <w:rsid w:val="1DBC6CDD"/>
    <w:rsid w:val="1DBE097F"/>
    <w:rsid w:val="1DBE272D"/>
    <w:rsid w:val="1DBF0627"/>
    <w:rsid w:val="1DBF0EA6"/>
    <w:rsid w:val="1DC67833"/>
    <w:rsid w:val="1DD04C16"/>
    <w:rsid w:val="1DD447BB"/>
    <w:rsid w:val="1DD90FFD"/>
    <w:rsid w:val="1DDD272D"/>
    <w:rsid w:val="1DF93765"/>
    <w:rsid w:val="1E2C58E8"/>
    <w:rsid w:val="1E390005"/>
    <w:rsid w:val="1E5A7402"/>
    <w:rsid w:val="1E601A36"/>
    <w:rsid w:val="1E625188"/>
    <w:rsid w:val="1E62755C"/>
    <w:rsid w:val="1E763344"/>
    <w:rsid w:val="1E764DB5"/>
    <w:rsid w:val="1E7A2AF8"/>
    <w:rsid w:val="1E866C5D"/>
    <w:rsid w:val="1E8D7FAD"/>
    <w:rsid w:val="1E9E3829"/>
    <w:rsid w:val="1EA3650A"/>
    <w:rsid w:val="1EAD02B5"/>
    <w:rsid w:val="1EC278D6"/>
    <w:rsid w:val="1EC45B21"/>
    <w:rsid w:val="1ECA6EAF"/>
    <w:rsid w:val="1ED668A5"/>
    <w:rsid w:val="1EDB265E"/>
    <w:rsid w:val="1EDD1986"/>
    <w:rsid w:val="1EDE751C"/>
    <w:rsid w:val="1EE25969"/>
    <w:rsid w:val="1EE408E7"/>
    <w:rsid w:val="1EE95587"/>
    <w:rsid w:val="1F0D56D6"/>
    <w:rsid w:val="1F134CFA"/>
    <w:rsid w:val="1F1A41DD"/>
    <w:rsid w:val="1F1A491A"/>
    <w:rsid w:val="1F2B4319"/>
    <w:rsid w:val="1F30765A"/>
    <w:rsid w:val="1F35643E"/>
    <w:rsid w:val="1F460C2C"/>
    <w:rsid w:val="1F647D5C"/>
    <w:rsid w:val="1F7237CF"/>
    <w:rsid w:val="1F727C25"/>
    <w:rsid w:val="1F751511"/>
    <w:rsid w:val="1F797577"/>
    <w:rsid w:val="1F7C289F"/>
    <w:rsid w:val="1F903714"/>
    <w:rsid w:val="1F92583B"/>
    <w:rsid w:val="1F9E45C4"/>
    <w:rsid w:val="1FAA6FC9"/>
    <w:rsid w:val="1FB1282A"/>
    <w:rsid w:val="1FB742A8"/>
    <w:rsid w:val="1FB931AC"/>
    <w:rsid w:val="1FBD7DA1"/>
    <w:rsid w:val="1FE83A91"/>
    <w:rsid w:val="1FF40688"/>
    <w:rsid w:val="200B1F92"/>
    <w:rsid w:val="201743BA"/>
    <w:rsid w:val="201A79C2"/>
    <w:rsid w:val="20381B49"/>
    <w:rsid w:val="204038CD"/>
    <w:rsid w:val="204D7D98"/>
    <w:rsid w:val="2060367F"/>
    <w:rsid w:val="2074045F"/>
    <w:rsid w:val="208E4638"/>
    <w:rsid w:val="20900791"/>
    <w:rsid w:val="20993431"/>
    <w:rsid w:val="209F3B2D"/>
    <w:rsid w:val="20A7394C"/>
    <w:rsid w:val="20AA51EA"/>
    <w:rsid w:val="20BD316F"/>
    <w:rsid w:val="20BD4741"/>
    <w:rsid w:val="20C53DD2"/>
    <w:rsid w:val="20C74035"/>
    <w:rsid w:val="20C938C2"/>
    <w:rsid w:val="20C96A14"/>
    <w:rsid w:val="20CE712B"/>
    <w:rsid w:val="20DA089D"/>
    <w:rsid w:val="20E35826"/>
    <w:rsid w:val="20E406FC"/>
    <w:rsid w:val="21187BA4"/>
    <w:rsid w:val="211B39F2"/>
    <w:rsid w:val="211D5502"/>
    <w:rsid w:val="21221225"/>
    <w:rsid w:val="21260DB9"/>
    <w:rsid w:val="214D441A"/>
    <w:rsid w:val="214E201A"/>
    <w:rsid w:val="21505D92"/>
    <w:rsid w:val="21515666"/>
    <w:rsid w:val="21695F2A"/>
    <w:rsid w:val="21993693"/>
    <w:rsid w:val="219C6C8C"/>
    <w:rsid w:val="21A25EC1"/>
    <w:rsid w:val="21B43662"/>
    <w:rsid w:val="21B761EC"/>
    <w:rsid w:val="21BC51D5"/>
    <w:rsid w:val="21BE791C"/>
    <w:rsid w:val="21C23786"/>
    <w:rsid w:val="21C8560F"/>
    <w:rsid w:val="21E62252"/>
    <w:rsid w:val="21EE7F72"/>
    <w:rsid w:val="21FA26D6"/>
    <w:rsid w:val="22037BEF"/>
    <w:rsid w:val="220B7F0B"/>
    <w:rsid w:val="221A3B7F"/>
    <w:rsid w:val="221B57B1"/>
    <w:rsid w:val="2230171F"/>
    <w:rsid w:val="22364833"/>
    <w:rsid w:val="22461E41"/>
    <w:rsid w:val="22536F49"/>
    <w:rsid w:val="226D4721"/>
    <w:rsid w:val="228201CD"/>
    <w:rsid w:val="22827223"/>
    <w:rsid w:val="2291659C"/>
    <w:rsid w:val="22AA3280"/>
    <w:rsid w:val="22B05A84"/>
    <w:rsid w:val="22B440FE"/>
    <w:rsid w:val="22B8599C"/>
    <w:rsid w:val="22C50343"/>
    <w:rsid w:val="22C75BE0"/>
    <w:rsid w:val="22C95DFC"/>
    <w:rsid w:val="22CD6F6E"/>
    <w:rsid w:val="22D30A28"/>
    <w:rsid w:val="22D80C0E"/>
    <w:rsid w:val="22D861F3"/>
    <w:rsid w:val="22D93E8C"/>
    <w:rsid w:val="22DD5403"/>
    <w:rsid w:val="22E5251F"/>
    <w:rsid w:val="22F326FE"/>
    <w:rsid w:val="22F45DAA"/>
    <w:rsid w:val="22FB7F7F"/>
    <w:rsid w:val="23040BE2"/>
    <w:rsid w:val="23092231"/>
    <w:rsid w:val="23512450"/>
    <w:rsid w:val="235F22BC"/>
    <w:rsid w:val="23712C4B"/>
    <w:rsid w:val="23730E9E"/>
    <w:rsid w:val="23824BB2"/>
    <w:rsid w:val="239B5EA4"/>
    <w:rsid w:val="23AA3B2F"/>
    <w:rsid w:val="23B04715"/>
    <w:rsid w:val="23C74B5A"/>
    <w:rsid w:val="23D31E12"/>
    <w:rsid w:val="23D507D0"/>
    <w:rsid w:val="23EB2DE2"/>
    <w:rsid w:val="23F04219"/>
    <w:rsid w:val="23FA7552"/>
    <w:rsid w:val="240115C5"/>
    <w:rsid w:val="240A66CC"/>
    <w:rsid w:val="24121E1F"/>
    <w:rsid w:val="24163D08"/>
    <w:rsid w:val="24222D78"/>
    <w:rsid w:val="242B6642"/>
    <w:rsid w:val="24343749"/>
    <w:rsid w:val="24373239"/>
    <w:rsid w:val="244F103B"/>
    <w:rsid w:val="245422CA"/>
    <w:rsid w:val="24724246"/>
    <w:rsid w:val="24771B3B"/>
    <w:rsid w:val="249E01DD"/>
    <w:rsid w:val="24A402F9"/>
    <w:rsid w:val="24A63368"/>
    <w:rsid w:val="24BC512B"/>
    <w:rsid w:val="24D055DB"/>
    <w:rsid w:val="24DB5972"/>
    <w:rsid w:val="24E403C5"/>
    <w:rsid w:val="24E720E0"/>
    <w:rsid w:val="24F72C39"/>
    <w:rsid w:val="25034EC9"/>
    <w:rsid w:val="25092966"/>
    <w:rsid w:val="25185B43"/>
    <w:rsid w:val="25207829"/>
    <w:rsid w:val="252A7984"/>
    <w:rsid w:val="2536704D"/>
    <w:rsid w:val="253877EC"/>
    <w:rsid w:val="253F5E8A"/>
    <w:rsid w:val="25423C43"/>
    <w:rsid w:val="254E083A"/>
    <w:rsid w:val="25565941"/>
    <w:rsid w:val="25641E0C"/>
    <w:rsid w:val="25691621"/>
    <w:rsid w:val="256D244F"/>
    <w:rsid w:val="25754083"/>
    <w:rsid w:val="259326F1"/>
    <w:rsid w:val="25AA1ED9"/>
    <w:rsid w:val="25AC730F"/>
    <w:rsid w:val="25B209D2"/>
    <w:rsid w:val="25B85CB3"/>
    <w:rsid w:val="25BF6EB9"/>
    <w:rsid w:val="25C94365"/>
    <w:rsid w:val="25D00995"/>
    <w:rsid w:val="25DD4803"/>
    <w:rsid w:val="25DF715B"/>
    <w:rsid w:val="25ED73CA"/>
    <w:rsid w:val="25F2092D"/>
    <w:rsid w:val="25F70700"/>
    <w:rsid w:val="25FC0D64"/>
    <w:rsid w:val="261053BF"/>
    <w:rsid w:val="26105AEF"/>
    <w:rsid w:val="261F5D33"/>
    <w:rsid w:val="263F0183"/>
    <w:rsid w:val="2657371E"/>
    <w:rsid w:val="26606A77"/>
    <w:rsid w:val="266668AC"/>
    <w:rsid w:val="266F6214"/>
    <w:rsid w:val="26704D1E"/>
    <w:rsid w:val="269D375D"/>
    <w:rsid w:val="26AD1590"/>
    <w:rsid w:val="26B50445"/>
    <w:rsid w:val="26CE5A1A"/>
    <w:rsid w:val="26D4070D"/>
    <w:rsid w:val="26DB4FDA"/>
    <w:rsid w:val="26EE0CA7"/>
    <w:rsid w:val="26FA6339"/>
    <w:rsid w:val="271E423C"/>
    <w:rsid w:val="27276FD9"/>
    <w:rsid w:val="273E3F4D"/>
    <w:rsid w:val="275E378D"/>
    <w:rsid w:val="27744462"/>
    <w:rsid w:val="27777ECB"/>
    <w:rsid w:val="278C389C"/>
    <w:rsid w:val="27B37B36"/>
    <w:rsid w:val="27CA09CA"/>
    <w:rsid w:val="27D00E87"/>
    <w:rsid w:val="27F702BD"/>
    <w:rsid w:val="28207B40"/>
    <w:rsid w:val="28350FE6"/>
    <w:rsid w:val="284678FC"/>
    <w:rsid w:val="284D2BFA"/>
    <w:rsid w:val="284F6DA3"/>
    <w:rsid w:val="285103AF"/>
    <w:rsid w:val="287F7488"/>
    <w:rsid w:val="28814A83"/>
    <w:rsid w:val="288602EB"/>
    <w:rsid w:val="288E0F4E"/>
    <w:rsid w:val="28A3087D"/>
    <w:rsid w:val="28A45349"/>
    <w:rsid w:val="28A877C7"/>
    <w:rsid w:val="28BA7F95"/>
    <w:rsid w:val="28F56982"/>
    <w:rsid w:val="29143B49"/>
    <w:rsid w:val="291D3AD8"/>
    <w:rsid w:val="291E0523"/>
    <w:rsid w:val="29273882"/>
    <w:rsid w:val="29325D7D"/>
    <w:rsid w:val="29367F76"/>
    <w:rsid w:val="294206B6"/>
    <w:rsid w:val="29475CCC"/>
    <w:rsid w:val="295236DA"/>
    <w:rsid w:val="29641FB0"/>
    <w:rsid w:val="29763EBB"/>
    <w:rsid w:val="297B6D20"/>
    <w:rsid w:val="297D524A"/>
    <w:rsid w:val="298C27EC"/>
    <w:rsid w:val="29912711"/>
    <w:rsid w:val="29916893"/>
    <w:rsid w:val="299E04CA"/>
    <w:rsid w:val="29A859D1"/>
    <w:rsid w:val="29BF3AB4"/>
    <w:rsid w:val="29C015DB"/>
    <w:rsid w:val="29CC7F7F"/>
    <w:rsid w:val="29DB4666"/>
    <w:rsid w:val="29E13A1D"/>
    <w:rsid w:val="29E21551"/>
    <w:rsid w:val="29F01EC0"/>
    <w:rsid w:val="29FA1F67"/>
    <w:rsid w:val="2A0411F8"/>
    <w:rsid w:val="2A06146B"/>
    <w:rsid w:val="2A1C0F07"/>
    <w:rsid w:val="2A2102CB"/>
    <w:rsid w:val="2A257690"/>
    <w:rsid w:val="2A2878AC"/>
    <w:rsid w:val="2A337FFE"/>
    <w:rsid w:val="2A4B2B2E"/>
    <w:rsid w:val="2A4E6BE6"/>
    <w:rsid w:val="2A5266D7"/>
    <w:rsid w:val="2A537B47"/>
    <w:rsid w:val="2A5B4410"/>
    <w:rsid w:val="2A693A20"/>
    <w:rsid w:val="2A6B7798"/>
    <w:rsid w:val="2A704DAF"/>
    <w:rsid w:val="2A707A61"/>
    <w:rsid w:val="2A824E70"/>
    <w:rsid w:val="2A9570F1"/>
    <w:rsid w:val="2AA13343"/>
    <w:rsid w:val="2AB41AFF"/>
    <w:rsid w:val="2ABC5A31"/>
    <w:rsid w:val="2AC1385C"/>
    <w:rsid w:val="2AD17242"/>
    <w:rsid w:val="2AE65071"/>
    <w:rsid w:val="2AEF3F25"/>
    <w:rsid w:val="2B033E75"/>
    <w:rsid w:val="2B055C91"/>
    <w:rsid w:val="2B136BA2"/>
    <w:rsid w:val="2B14398C"/>
    <w:rsid w:val="2B1D60A6"/>
    <w:rsid w:val="2B22254D"/>
    <w:rsid w:val="2B275DB5"/>
    <w:rsid w:val="2B4C1378"/>
    <w:rsid w:val="2B4E343A"/>
    <w:rsid w:val="2B512334"/>
    <w:rsid w:val="2B512E08"/>
    <w:rsid w:val="2B5F2AEE"/>
    <w:rsid w:val="2B655C74"/>
    <w:rsid w:val="2B6D12EE"/>
    <w:rsid w:val="2B764BE3"/>
    <w:rsid w:val="2B7D3C27"/>
    <w:rsid w:val="2B885195"/>
    <w:rsid w:val="2B8C5EF3"/>
    <w:rsid w:val="2B9022C9"/>
    <w:rsid w:val="2B922289"/>
    <w:rsid w:val="2B967998"/>
    <w:rsid w:val="2B98280F"/>
    <w:rsid w:val="2BAE3DE1"/>
    <w:rsid w:val="2BBC0BA2"/>
    <w:rsid w:val="2BCA60F5"/>
    <w:rsid w:val="2BCE4483"/>
    <w:rsid w:val="2BF8505C"/>
    <w:rsid w:val="2C167BD8"/>
    <w:rsid w:val="2C216339"/>
    <w:rsid w:val="2C484235"/>
    <w:rsid w:val="2C5D75B5"/>
    <w:rsid w:val="2C8B5335"/>
    <w:rsid w:val="2C9528BD"/>
    <w:rsid w:val="2C9A6598"/>
    <w:rsid w:val="2C9C0F31"/>
    <w:rsid w:val="2C9E20A7"/>
    <w:rsid w:val="2C9F5E1F"/>
    <w:rsid w:val="2CAB0320"/>
    <w:rsid w:val="2CB2481F"/>
    <w:rsid w:val="2CBD0053"/>
    <w:rsid w:val="2CCA2E9C"/>
    <w:rsid w:val="2CE90A48"/>
    <w:rsid w:val="2CF0667B"/>
    <w:rsid w:val="2CFE69AB"/>
    <w:rsid w:val="2D034C1E"/>
    <w:rsid w:val="2D0F08AF"/>
    <w:rsid w:val="2D1265F1"/>
    <w:rsid w:val="2D391DD0"/>
    <w:rsid w:val="2D393B7E"/>
    <w:rsid w:val="2D3E7D03"/>
    <w:rsid w:val="2D4B294E"/>
    <w:rsid w:val="2D542766"/>
    <w:rsid w:val="2D544B2D"/>
    <w:rsid w:val="2D564730"/>
    <w:rsid w:val="2D7642C7"/>
    <w:rsid w:val="2D7A5AF1"/>
    <w:rsid w:val="2D7F6DD3"/>
    <w:rsid w:val="2D913140"/>
    <w:rsid w:val="2D94061C"/>
    <w:rsid w:val="2DA76D39"/>
    <w:rsid w:val="2DBB39A9"/>
    <w:rsid w:val="2DBF3691"/>
    <w:rsid w:val="2DC93154"/>
    <w:rsid w:val="2DCC49F2"/>
    <w:rsid w:val="2DE52316"/>
    <w:rsid w:val="2DEA4E78"/>
    <w:rsid w:val="2E100D83"/>
    <w:rsid w:val="2E2935E7"/>
    <w:rsid w:val="2E3031D3"/>
    <w:rsid w:val="2E89303E"/>
    <w:rsid w:val="2E8F473D"/>
    <w:rsid w:val="2E9D6EE1"/>
    <w:rsid w:val="2EC1207D"/>
    <w:rsid w:val="2EDE2C2F"/>
    <w:rsid w:val="2EF97A69"/>
    <w:rsid w:val="2F0B779C"/>
    <w:rsid w:val="2F0D0E1E"/>
    <w:rsid w:val="2F0D5762"/>
    <w:rsid w:val="2F104DB2"/>
    <w:rsid w:val="2F13099C"/>
    <w:rsid w:val="2F1555EE"/>
    <w:rsid w:val="2F2443BA"/>
    <w:rsid w:val="2F300FB0"/>
    <w:rsid w:val="2F755F6A"/>
    <w:rsid w:val="2F8A439B"/>
    <w:rsid w:val="2F8E0B9D"/>
    <w:rsid w:val="2FA432A0"/>
    <w:rsid w:val="2FB969A5"/>
    <w:rsid w:val="2FD1009E"/>
    <w:rsid w:val="30300D01"/>
    <w:rsid w:val="30446AC1"/>
    <w:rsid w:val="3050190A"/>
    <w:rsid w:val="30590093"/>
    <w:rsid w:val="30717AD3"/>
    <w:rsid w:val="30751371"/>
    <w:rsid w:val="30843D9D"/>
    <w:rsid w:val="3087358A"/>
    <w:rsid w:val="30886F7D"/>
    <w:rsid w:val="309C1849"/>
    <w:rsid w:val="30BC5EEC"/>
    <w:rsid w:val="30C850DA"/>
    <w:rsid w:val="30CB71E3"/>
    <w:rsid w:val="30D3393C"/>
    <w:rsid w:val="30DD327D"/>
    <w:rsid w:val="30E107B4"/>
    <w:rsid w:val="30F2476F"/>
    <w:rsid w:val="30F27B93"/>
    <w:rsid w:val="31025EE6"/>
    <w:rsid w:val="312F620E"/>
    <w:rsid w:val="31321BF6"/>
    <w:rsid w:val="31351881"/>
    <w:rsid w:val="314E691D"/>
    <w:rsid w:val="314F0184"/>
    <w:rsid w:val="31501496"/>
    <w:rsid w:val="3175316A"/>
    <w:rsid w:val="3178510A"/>
    <w:rsid w:val="318A2097"/>
    <w:rsid w:val="31975317"/>
    <w:rsid w:val="31992E3D"/>
    <w:rsid w:val="319C5DFA"/>
    <w:rsid w:val="31A0509F"/>
    <w:rsid w:val="31A2252C"/>
    <w:rsid w:val="31B639EF"/>
    <w:rsid w:val="31C31BE2"/>
    <w:rsid w:val="31C51510"/>
    <w:rsid w:val="31C972B1"/>
    <w:rsid w:val="31CC7430"/>
    <w:rsid w:val="31FC517A"/>
    <w:rsid w:val="31FE07B0"/>
    <w:rsid w:val="320329AC"/>
    <w:rsid w:val="32106957"/>
    <w:rsid w:val="32181CCE"/>
    <w:rsid w:val="32266052"/>
    <w:rsid w:val="32425283"/>
    <w:rsid w:val="3247469D"/>
    <w:rsid w:val="324E00CB"/>
    <w:rsid w:val="3267118D"/>
    <w:rsid w:val="328410C5"/>
    <w:rsid w:val="32844C35"/>
    <w:rsid w:val="32A41A99"/>
    <w:rsid w:val="32AC3044"/>
    <w:rsid w:val="32AF7967"/>
    <w:rsid w:val="32B50114"/>
    <w:rsid w:val="32B819E9"/>
    <w:rsid w:val="32C24615"/>
    <w:rsid w:val="32D228C1"/>
    <w:rsid w:val="32FC18D5"/>
    <w:rsid w:val="3304054E"/>
    <w:rsid w:val="330460CD"/>
    <w:rsid w:val="33054E14"/>
    <w:rsid w:val="333054AD"/>
    <w:rsid w:val="33323549"/>
    <w:rsid w:val="33370B5F"/>
    <w:rsid w:val="33380434"/>
    <w:rsid w:val="333D7DC0"/>
    <w:rsid w:val="33424F22"/>
    <w:rsid w:val="334D5DFF"/>
    <w:rsid w:val="334F01CE"/>
    <w:rsid w:val="33582884"/>
    <w:rsid w:val="33721B98"/>
    <w:rsid w:val="33767E61"/>
    <w:rsid w:val="338052E3"/>
    <w:rsid w:val="3390201E"/>
    <w:rsid w:val="33922B2D"/>
    <w:rsid w:val="33953AD8"/>
    <w:rsid w:val="33B25DC6"/>
    <w:rsid w:val="33C74824"/>
    <w:rsid w:val="33D024FC"/>
    <w:rsid w:val="33E03E4C"/>
    <w:rsid w:val="340A5999"/>
    <w:rsid w:val="340F388A"/>
    <w:rsid w:val="34285922"/>
    <w:rsid w:val="34287731"/>
    <w:rsid w:val="342F48F7"/>
    <w:rsid w:val="342F53E4"/>
    <w:rsid w:val="342F6738"/>
    <w:rsid w:val="34354F54"/>
    <w:rsid w:val="34365896"/>
    <w:rsid w:val="34452E08"/>
    <w:rsid w:val="34536B78"/>
    <w:rsid w:val="345B6AD0"/>
    <w:rsid w:val="3467634A"/>
    <w:rsid w:val="3468528B"/>
    <w:rsid w:val="346C4839"/>
    <w:rsid w:val="34883A81"/>
    <w:rsid w:val="3491429F"/>
    <w:rsid w:val="349237E3"/>
    <w:rsid w:val="34C549EF"/>
    <w:rsid w:val="34C62449"/>
    <w:rsid w:val="34CE205D"/>
    <w:rsid w:val="34D45F78"/>
    <w:rsid w:val="34D75AC5"/>
    <w:rsid w:val="34D81ECE"/>
    <w:rsid w:val="34D95070"/>
    <w:rsid w:val="34E42E5A"/>
    <w:rsid w:val="34EC7728"/>
    <w:rsid w:val="350B6860"/>
    <w:rsid w:val="35123632"/>
    <w:rsid w:val="35303DBC"/>
    <w:rsid w:val="35366BF5"/>
    <w:rsid w:val="354151FC"/>
    <w:rsid w:val="354B524C"/>
    <w:rsid w:val="355E2D37"/>
    <w:rsid w:val="35641354"/>
    <w:rsid w:val="35721391"/>
    <w:rsid w:val="35754B3B"/>
    <w:rsid w:val="358908DA"/>
    <w:rsid w:val="358B5193"/>
    <w:rsid w:val="35A647B4"/>
    <w:rsid w:val="35C30488"/>
    <w:rsid w:val="35C57BBF"/>
    <w:rsid w:val="35C64EB1"/>
    <w:rsid w:val="35CB1D6D"/>
    <w:rsid w:val="35DA410B"/>
    <w:rsid w:val="35E13004"/>
    <w:rsid w:val="35E30B2B"/>
    <w:rsid w:val="35EE629E"/>
    <w:rsid w:val="35FD01EF"/>
    <w:rsid w:val="35FD29D6"/>
    <w:rsid w:val="36015455"/>
    <w:rsid w:val="360B0081"/>
    <w:rsid w:val="360E2F30"/>
    <w:rsid w:val="362F443C"/>
    <w:rsid w:val="363413D7"/>
    <w:rsid w:val="366F2FCA"/>
    <w:rsid w:val="367D1CA6"/>
    <w:rsid w:val="36910B24"/>
    <w:rsid w:val="36A35226"/>
    <w:rsid w:val="36AC3590"/>
    <w:rsid w:val="36AC716F"/>
    <w:rsid w:val="36B91988"/>
    <w:rsid w:val="36C230AE"/>
    <w:rsid w:val="36DE3E63"/>
    <w:rsid w:val="36DF5796"/>
    <w:rsid w:val="36E44B5A"/>
    <w:rsid w:val="36E56B24"/>
    <w:rsid w:val="36EA4DC9"/>
    <w:rsid w:val="36F17277"/>
    <w:rsid w:val="3700570C"/>
    <w:rsid w:val="37094512"/>
    <w:rsid w:val="37152977"/>
    <w:rsid w:val="37182A56"/>
    <w:rsid w:val="371C5292"/>
    <w:rsid w:val="3733163E"/>
    <w:rsid w:val="37373B38"/>
    <w:rsid w:val="37503831"/>
    <w:rsid w:val="375135BC"/>
    <w:rsid w:val="376C1618"/>
    <w:rsid w:val="3790083E"/>
    <w:rsid w:val="37996BEE"/>
    <w:rsid w:val="379A26B0"/>
    <w:rsid w:val="37A442EA"/>
    <w:rsid w:val="37B716AB"/>
    <w:rsid w:val="37C87FD8"/>
    <w:rsid w:val="37E47AB3"/>
    <w:rsid w:val="37E61BA3"/>
    <w:rsid w:val="37E868CC"/>
    <w:rsid w:val="37EC7A62"/>
    <w:rsid w:val="37F611F9"/>
    <w:rsid w:val="37FA0E55"/>
    <w:rsid w:val="37FD406E"/>
    <w:rsid w:val="37FF7772"/>
    <w:rsid w:val="38042FDA"/>
    <w:rsid w:val="3814321D"/>
    <w:rsid w:val="381B0A50"/>
    <w:rsid w:val="382751ED"/>
    <w:rsid w:val="38490CD3"/>
    <w:rsid w:val="385171D1"/>
    <w:rsid w:val="385F444C"/>
    <w:rsid w:val="388B5124"/>
    <w:rsid w:val="389338B6"/>
    <w:rsid w:val="38A50319"/>
    <w:rsid w:val="38AC16A8"/>
    <w:rsid w:val="38AF73EA"/>
    <w:rsid w:val="38DB01DF"/>
    <w:rsid w:val="38DF7CCF"/>
    <w:rsid w:val="39070FD0"/>
    <w:rsid w:val="390B1D19"/>
    <w:rsid w:val="390E623C"/>
    <w:rsid w:val="3914549F"/>
    <w:rsid w:val="39161217"/>
    <w:rsid w:val="39355ABC"/>
    <w:rsid w:val="39355B41"/>
    <w:rsid w:val="394E6A2E"/>
    <w:rsid w:val="39671A73"/>
    <w:rsid w:val="396B3311"/>
    <w:rsid w:val="396C0617"/>
    <w:rsid w:val="396E6FB5"/>
    <w:rsid w:val="396F1706"/>
    <w:rsid w:val="39847202"/>
    <w:rsid w:val="398919E9"/>
    <w:rsid w:val="39A15CD6"/>
    <w:rsid w:val="39A36EB5"/>
    <w:rsid w:val="39AB195F"/>
    <w:rsid w:val="39CC367A"/>
    <w:rsid w:val="3A045788"/>
    <w:rsid w:val="3A092B2A"/>
    <w:rsid w:val="3A1B6D1D"/>
    <w:rsid w:val="3A1D54F7"/>
    <w:rsid w:val="3A2825FD"/>
    <w:rsid w:val="3A2C2FE1"/>
    <w:rsid w:val="3A3740C8"/>
    <w:rsid w:val="3A3C578A"/>
    <w:rsid w:val="3A4D6EBA"/>
    <w:rsid w:val="3A573895"/>
    <w:rsid w:val="3A687850"/>
    <w:rsid w:val="3A795FFC"/>
    <w:rsid w:val="3A946897"/>
    <w:rsid w:val="3AB57BE2"/>
    <w:rsid w:val="3AC32CD9"/>
    <w:rsid w:val="3ADB6274"/>
    <w:rsid w:val="3AFB2473"/>
    <w:rsid w:val="3B026813"/>
    <w:rsid w:val="3B070E17"/>
    <w:rsid w:val="3B275AD5"/>
    <w:rsid w:val="3B302CB7"/>
    <w:rsid w:val="3B6D1539"/>
    <w:rsid w:val="3B8B1A48"/>
    <w:rsid w:val="3BA650FC"/>
    <w:rsid w:val="3BA7084C"/>
    <w:rsid w:val="3BA94414"/>
    <w:rsid w:val="3BD50F16"/>
    <w:rsid w:val="3BD84A38"/>
    <w:rsid w:val="3BE058FC"/>
    <w:rsid w:val="3BE473AB"/>
    <w:rsid w:val="3BEB1513"/>
    <w:rsid w:val="3BFE1F56"/>
    <w:rsid w:val="3C0C409C"/>
    <w:rsid w:val="3C0E4427"/>
    <w:rsid w:val="3C26744A"/>
    <w:rsid w:val="3C355E58"/>
    <w:rsid w:val="3C485B8B"/>
    <w:rsid w:val="3C591B47"/>
    <w:rsid w:val="3C616C4D"/>
    <w:rsid w:val="3C681D8A"/>
    <w:rsid w:val="3C690393"/>
    <w:rsid w:val="3C7324DC"/>
    <w:rsid w:val="3C7E335B"/>
    <w:rsid w:val="3C960AEE"/>
    <w:rsid w:val="3C984A9F"/>
    <w:rsid w:val="3C9B215F"/>
    <w:rsid w:val="3C9E39FD"/>
    <w:rsid w:val="3CC00AAA"/>
    <w:rsid w:val="3CC1149A"/>
    <w:rsid w:val="3CCA034E"/>
    <w:rsid w:val="3CD64F45"/>
    <w:rsid w:val="3CD856D2"/>
    <w:rsid w:val="3CDE0AF1"/>
    <w:rsid w:val="3CDF1CD3"/>
    <w:rsid w:val="3CE4141E"/>
    <w:rsid w:val="3CE87FB3"/>
    <w:rsid w:val="3CFD5C00"/>
    <w:rsid w:val="3D0614F4"/>
    <w:rsid w:val="3D265B5A"/>
    <w:rsid w:val="3D3879AE"/>
    <w:rsid w:val="3D39545D"/>
    <w:rsid w:val="3D3A33A6"/>
    <w:rsid w:val="3D62504C"/>
    <w:rsid w:val="3D6606E6"/>
    <w:rsid w:val="3D6A3FDF"/>
    <w:rsid w:val="3D6E41A1"/>
    <w:rsid w:val="3D7869CC"/>
    <w:rsid w:val="3D791D75"/>
    <w:rsid w:val="3DA36DA1"/>
    <w:rsid w:val="3DA823F9"/>
    <w:rsid w:val="3DA83401"/>
    <w:rsid w:val="3DB37034"/>
    <w:rsid w:val="3DB84534"/>
    <w:rsid w:val="3DC11F20"/>
    <w:rsid w:val="3DD51A7B"/>
    <w:rsid w:val="3DD86A9B"/>
    <w:rsid w:val="3DE90CA8"/>
    <w:rsid w:val="3DF02037"/>
    <w:rsid w:val="3E03620E"/>
    <w:rsid w:val="3E135D25"/>
    <w:rsid w:val="3E214783"/>
    <w:rsid w:val="3E257275"/>
    <w:rsid w:val="3E3E7990"/>
    <w:rsid w:val="3E4928E7"/>
    <w:rsid w:val="3E5000D2"/>
    <w:rsid w:val="3E590DA0"/>
    <w:rsid w:val="3E642A25"/>
    <w:rsid w:val="3E75078E"/>
    <w:rsid w:val="3E8C3C28"/>
    <w:rsid w:val="3EE17BD1"/>
    <w:rsid w:val="3EF47905"/>
    <w:rsid w:val="3F285800"/>
    <w:rsid w:val="3F333005"/>
    <w:rsid w:val="3F4E6A40"/>
    <w:rsid w:val="3F566811"/>
    <w:rsid w:val="3F5C6F82"/>
    <w:rsid w:val="3F662C39"/>
    <w:rsid w:val="3F793BFB"/>
    <w:rsid w:val="3F8C2233"/>
    <w:rsid w:val="3F94388D"/>
    <w:rsid w:val="3FB4352E"/>
    <w:rsid w:val="3FB63D7C"/>
    <w:rsid w:val="3FCA68B7"/>
    <w:rsid w:val="3FCD2498"/>
    <w:rsid w:val="3FD339BE"/>
    <w:rsid w:val="3FF37BBC"/>
    <w:rsid w:val="3FFF47B3"/>
    <w:rsid w:val="40444B22"/>
    <w:rsid w:val="40445977"/>
    <w:rsid w:val="40457CE4"/>
    <w:rsid w:val="40544572"/>
    <w:rsid w:val="40546965"/>
    <w:rsid w:val="40554DD4"/>
    <w:rsid w:val="405A40DF"/>
    <w:rsid w:val="4061546E"/>
    <w:rsid w:val="4084115C"/>
    <w:rsid w:val="408B6047"/>
    <w:rsid w:val="409B4E32"/>
    <w:rsid w:val="40A92971"/>
    <w:rsid w:val="40B8061A"/>
    <w:rsid w:val="40D20C01"/>
    <w:rsid w:val="412A2C1A"/>
    <w:rsid w:val="412F10C8"/>
    <w:rsid w:val="41456B3D"/>
    <w:rsid w:val="414B5911"/>
    <w:rsid w:val="41797C42"/>
    <w:rsid w:val="417B255F"/>
    <w:rsid w:val="417D58A9"/>
    <w:rsid w:val="417F0B65"/>
    <w:rsid w:val="41852181"/>
    <w:rsid w:val="41970A1B"/>
    <w:rsid w:val="41C61CBC"/>
    <w:rsid w:val="41CC6917"/>
    <w:rsid w:val="41D10522"/>
    <w:rsid w:val="420267DC"/>
    <w:rsid w:val="42075BA1"/>
    <w:rsid w:val="42097B6B"/>
    <w:rsid w:val="421556B7"/>
    <w:rsid w:val="421B164C"/>
    <w:rsid w:val="4222234E"/>
    <w:rsid w:val="42331494"/>
    <w:rsid w:val="42380450"/>
    <w:rsid w:val="423A5352"/>
    <w:rsid w:val="425B6370"/>
    <w:rsid w:val="4266495D"/>
    <w:rsid w:val="427174BE"/>
    <w:rsid w:val="428A020E"/>
    <w:rsid w:val="428E0070"/>
    <w:rsid w:val="42927B60"/>
    <w:rsid w:val="42A41642"/>
    <w:rsid w:val="42A45AE6"/>
    <w:rsid w:val="42B707FA"/>
    <w:rsid w:val="42D01DE6"/>
    <w:rsid w:val="42D21976"/>
    <w:rsid w:val="42ED123B"/>
    <w:rsid w:val="42F21EC2"/>
    <w:rsid w:val="42FE0076"/>
    <w:rsid w:val="430646E0"/>
    <w:rsid w:val="431076D0"/>
    <w:rsid w:val="432171B5"/>
    <w:rsid w:val="43362BE2"/>
    <w:rsid w:val="434A043B"/>
    <w:rsid w:val="4367430C"/>
    <w:rsid w:val="436A2C23"/>
    <w:rsid w:val="437329A2"/>
    <w:rsid w:val="43784FA8"/>
    <w:rsid w:val="4379673A"/>
    <w:rsid w:val="437F4D8A"/>
    <w:rsid w:val="438751EB"/>
    <w:rsid w:val="439C056B"/>
    <w:rsid w:val="43B6787E"/>
    <w:rsid w:val="43B835F7"/>
    <w:rsid w:val="43C024AB"/>
    <w:rsid w:val="43C5036C"/>
    <w:rsid w:val="43CF4640"/>
    <w:rsid w:val="43E643B8"/>
    <w:rsid w:val="43EC14F2"/>
    <w:rsid w:val="43F07800"/>
    <w:rsid w:val="44250560"/>
    <w:rsid w:val="442548A8"/>
    <w:rsid w:val="442742D8"/>
    <w:rsid w:val="442E38B9"/>
    <w:rsid w:val="443855B1"/>
    <w:rsid w:val="4447497A"/>
    <w:rsid w:val="444C1F91"/>
    <w:rsid w:val="446B5898"/>
    <w:rsid w:val="447C0F86"/>
    <w:rsid w:val="449851D6"/>
    <w:rsid w:val="44A6065D"/>
    <w:rsid w:val="44AA6989"/>
    <w:rsid w:val="44AC4F7D"/>
    <w:rsid w:val="44B264F0"/>
    <w:rsid w:val="44B738AE"/>
    <w:rsid w:val="44C23C81"/>
    <w:rsid w:val="44C757E3"/>
    <w:rsid w:val="44D73F50"/>
    <w:rsid w:val="44E35A2E"/>
    <w:rsid w:val="44E87F0C"/>
    <w:rsid w:val="44EF1F96"/>
    <w:rsid w:val="45045743"/>
    <w:rsid w:val="45076621"/>
    <w:rsid w:val="450D4F16"/>
    <w:rsid w:val="4510761C"/>
    <w:rsid w:val="452847AC"/>
    <w:rsid w:val="45344EFF"/>
    <w:rsid w:val="453F2037"/>
    <w:rsid w:val="45594965"/>
    <w:rsid w:val="456D6663"/>
    <w:rsid w:val="4570707E"/>
    <w:rsid w:val="4578267F"/>
    <w:rsid w:val="4584253C"/>
    <w:rsid w:val="45912351"/>
    <w:rsid w:val="459C69D7"/>
    <w:rsid w:val="45D87F80"/>
    <w:rsid w:val="45EA0C71"/>
    <w:rsid w:val="45FD1985"/>
    <w:rsid w:val="460370D5"/>
    <w:rsid w:val="462B5FAB"/>
    <w:rsid w:val="462D194E"/>
    <w:rsid w:val="4651096A"/>
    <w:rsid w:val="4658527B"/>
    <w:rsid w:val="465E6ECF"/>
    <w:rsid w:val="46742B27"/>
    <w:rsid w:val="46777B9E"/>
    <w:rsid w:val="467C4DAF"/>
    <w:rsid w:val="46821C9A"/>
    <w:rsid w:val="46935C55"/>
    <w:rsid w:val="46955E71"/>
    <w:rsid w:val="469817DD"/>
    <w:rsid w:val="469D736F"/>
    <w:rsid w:val="46B20DC2"/>
    <w:rsid w:val="46BC3FB1"/>
    <w:rsid w:val="46D70238"/>
    <w:rsid w:val="46DA1AD6"/>
    <w:rsid w:val="46E71942"/>
    <w:rsid w:val="46F25071"/>
    <w:rsid w:val="46F661E4"/>
    <w:rsid w:val="46F72E76"/>
    <w:rsid w:val="46F9684D"/>
    <w:rsid w:val="46FA2178"/>
    <w:rsid w:val="471A45C8"/>
    <w:rsid w:val="471A6376"/>
    <w:rsid w:val="471C3E9C"/>
    <w:rsid w:val="472646CB"/>
    <w:rsid w:val="472D7E58"/>
    <w:rsid w:val="472F1E22"/>
    <w:rsid w:val="474156B1"/>
    <w:rsid w:val="47495932"/>
    <w:rsid w:val="474B4782"/>
    <w:rsid w:val="474E0291"/>
    <w:rsid w:val="47521B0E"/>
    <w:rsid w:val="4766738F"/>
    <w:rsid w:val="47687301"/>
    <w:rsid w:val="47971775"/>
    <w:rsid w:val="479A5599"/>
    <w:rsid w:val="479B1265"/>
    <w:rsid w:val="479C4FDD"/>
    <w:rsid w:val="479C6D8B"/>
    <w:rsid w:val="47A13146"/>
    <w:rsid w:val="47A73CBB"/>
    <w:rsid w:val="47A84F96"/>
    <w:rsid w:val="47B96BB5"/>
    <w:rsid w:val="47C044A4"/>
    <w:rsid w:val="47C3256A"/>
    <w:rsid w:val="47D6229D"/>
    <w:rsid w:val="47D93B3C"/>
    <w:rsid w:val="480D769C"/>
    <w:rsid w:val="48272AF9"/>
    <w:rsid w:val="483376F0"/>
    <w:rsid w:val="48380E77"/>
    <w:rsid w:val="483823D0"/>
    <w:rsid w:val="484A67E7"/>
    <w:rsid w:val="484D0086"/>
    <w:rsid w:val="48580F04"/>
    <w:rsid w:val="486E697A"/>
    <w:rsid w:val="487E7BC4"/>
    <w:rsid w:val="488E4926"/>
    <w:rsid w:val="488F6E02"/>
    <w:rsid w:val="48AC15C2"/>
    <w:rsid w:val="48B9571B"/>
    <w:rsid w:val="48BB1D99"/>
    <w:rsid w:val="48C26D11"/>
    <w:rsid w:val="48CF0CC5"/>
    <w:rsid w:val="48E1539E"/>
    <w:rsid w:val="48F21359"/>
    <w:rsid w:val="49075334"/>
    <w:rsid w:val="491F5EC6"/>
    <w:rsid w:val="492E6109"/>
    <w:rsid w:val="4932281A"/>
    <w:rsid w:val="493D00FA"/>
    <w:rsid w:val="498674B9"/>
    <w:rsid w:val="49A50548"/>
    <w:rsid w:val="49C445A1"/>
    <w:rsid w:val="49C83E68"/>
    <w:rsid w:val="49C97B1D"/>
    <w:rsid w:val="49D337A0"/>
    <w:rsid w:val="49D3791F"/>
    <w:rsid w:val="49D81758"/>
    <w:rsid w:val="49DB76F2"/>
    <w:rsid w:val="49F11BF3"/>
    <w:rsid w:val="49FB5FAA"/>
    <w:rsid w:val="4A095630"/>
    <w:rsid w:val="4A0E055A"/>
    <w:rsid w:val="4A267754"/>
    <w:rsid w:val="4A435BE4"/>
    <w:rsid w:val="4A59507B"/>
    <w:rsid w:val="4A914BA1"/>
    <w:rsid w:val="4AA12BFC"/>
    <w:rsid w:val="4AA8504D"/>
    <w:rsid w:val="4ABC205B"/>
    <w:rsid w:val="4ABD5996"/>
    <w:rsid w:val="4AD54A8E"/>
    <w:rsid w:val="4AE051E1"/>
    <w:rsid w:val="4AEC002A"/>
    <w:rsid w:val="4AF13892"/>
    <w:rsid w:val="4AFD5D93"/>
    <w:rsid w:val="4AFD69AE"/>
    <w:rsid w:val="4B014D24"/>
    <w:rsid w:val="4B0B4954"/>
    <w:rsid w:val="4B0C61BF"/>
    <w:rsid w:val="4B187071"/>
    <w:rsid w:val="4B2E50E0"/>
    <w:rsid w:val="4B354775"/>
    <w:rsid w:val="4B392F65"/>
    <w:rsid w:val="4B4C086D"/>
    <w:rsid w:val="4B4D5A2E"/>
    <w:rsid w:val="4B517E8D"/>
    <w:rsid w:val="4B631A61"/>
    <w:rsid w:val="4B865D88"/>
    <w:rsid w:val="4B9A66C0"/>
    <w:rsid w:val="4BA250EF"/>
    <w:rsid w:val="4BB449C0"/>
    <w:rsid w:val="4BB46D99"/>
    <w:rsid w:val="4BB5666E"/>
    <w:rsid w:val="4BB943B0"/>
    <w:rsid w:val="4BC108B4"/>
    <w:rsid w:val="4BC114B6"/>
    <w:rsid w:val="4BDC1E4C"/>
    <w:rsid w:val="4C154208"/>
    <w:rsid w:val="4C1635B0"/>
    <w:rsid w:val="4C1B1570"/>
    <w:rsid w:val="4C213D03"/>
    <w:rsid w:val="4C33179E"/>
    <w:rsid w:val="4C340BB3"/>
    <w:rsid w:val="4C3457E4"/>
    <w:rsid w:val="4C3F7C92"/>
    <w:rsid w:val="4C465298"/>
    <w:rsid w:val="4C510140"/>
    <w:rsid w:val="4C55744C"/>
    <w:rsid w:val="4C6651BB"/>
    <w:rsid w:val="4C9238B2"/>
    <w:rsid w:val="4C986C21"/>
    <w:rsid w:val="4CA010CC"/>
    <w:rsid w:val="4CA32907"/>
    <w:rsid w:val="4CA5797A"/>
    <w:rsid w:val="4CA95044"/>
    <w:rsid w:val="4CB93F3C"/>
    <w:rsid w:val="4CC02E3A"/>
    <w:rsid w:val="4CD5715E"/>
    <w:rsid w:val="4D0619FF"/>
    <w:rsid w:val="4D1473C4"/>
    <w:rsid w:val="4D2717ED"/>
    <w:rsid w:val="4D304E22"/>
    <w:rsid w:val="4D3A1520"/>
    <w:rsid w:val="4D3C7046"/>
    <w:rsid w:val="4D404EC6"/>
    <w:rsid w:val="4D422183"/>
    <w:rsid w:val="4D5F159B"/>
    <w:rsid w:val="4D6C0FAE"/>
    <w:rsid w:val="4D8971D6"/>
    <w:rsid w:val="4D8A1E27"/>
    <w:rsid w:val="4D8D29C9"/>
    <w:rsid w:val="4D994E08"/>
    <w:rsid w:val="4DB911F4"/>
    <w:rsid w:val="4DBE0454"/>
    <w:rsid w:val="4DCC6879"/>
    <w:rsid w:val="4DE4323A"/>
    <w:rsid w:val="4DE75A33"/>
    <w:rsid w:val="4DFF01DA"/>
    <w:rsid w:val="4E0631B0"/>
    <w:rsid w:val="4E1A6EFE"/>
    <w:rsid w:val="4E2A4C8D"/>
    <w:rsid w:val="4E3008AC"/>
    <w:rsid w:val="4E4A29CE"/>
    <w:rsid w:val="4E4F7045"/>
    <w:rsid w:val="4E720529"/>
    <w:rsid w:val="4E9751BE"/>
    <w:rsid w:val="4EA50C1B"/>
    <w:rsid w:val="4EB26E94"/>
    <w:rsid w:val="4EB91284"/>
    <w:rsid w:val="4EBF7714"/>
    <w:rsid w:val="4EC233BC"/>
    <w:rsid w:val="4EDF237F"/>
    <w:rsid w:val="4EE72FE2"/>
    <w:rsid w:val="4EFB506E"/>
    <w:rsid w:val="4EFF5B7A"/>
    <w:rsid w:val="4F192763"/>
    <w:rsid w:val="4F1A23F8"/>
    <w:rsid w:val="4F293FD1"/>
    <w:rsid w:val="4F3B50DC"/>
    <w:rsid w:val="4F5573BE"/>
    <w:rsid w:val="4F566000"/>
    <w:rsid w:val="4F5D49DE"/>
    <w:rsid w:val="4F5E6D17"/>
    <w:rsid w:val="4F786B55"/>
    <w:rsid w:val="4F824AB9"/>
    <w:rsid w:val="4F870321"/>
    <w:rsid w:val="4F8E345D"/>
    <w:rsid w:val="4FAA4D48"/>
    <w:rsid w:val="4FBF5290"/>
    <w:rsid w:val="4FCB46B2"/>
    <w:rsid w:val="4FE31995"/>
    <w:rsid w:val="50026E59"/>
    <w:rsid w:val="501E71EF"/>
    <w:rsid w:val="50243DC2"/>
    <w:rsid w:val="50250266"/>
    <w:rsid w:val="506568B4"/>
    <w:rsid w:val="506718B7"/>
    <w:rsid w:val="50681F00"/>
    <w:rsid w:val="506D338D"/>
    <w:rsid w:val="508514F8"/>
    <w:rsid w:val="508F3931"/>
    <w:rsid w:val="509E6DA8"/>
    <w:rsid w:val="50A32F39"/>
    <w:rsid w:val="50B213CE"/>
    <w:rsid w:val="50B2560B"/>
    <w:rsid w:val="50B471F7"/>
    <w:rsid w:val="50BB2978"/>
    <w:rsid w:val="50BC224C"/>
    <w:rsid w:val="50C17863"/>
    <w:rsid w:val="50C335DB"/>
    <w:rsid w:val="50CC68F4"/>
    <w:rsid w:val="50DB5F0B"/>
    <w:rsid w:val="50DF45F3"/>
    <w:rsid w:val="50F47C38"/>
    <w:rsid w:val="50F74F9E"/>
    <w:rsid w:val="510023C8"/>
    <w:rsid w:val="510254CA"/>
    <w:rsid w:val="510C5F03"/>
    <w:rsid w:val="51112598"/>
    <w:rsid w:val="514644B4"/>
    <w:rsid w:val="51594625"/>
    <w:rsid w:val="515E71A4"/>
    <w:rsid w:val="51624BA2"/>
    <w:rsid w:val="5167452D"/>
    <w:rsid w:val="517B3EB5"/>
    <w:rsid w:val="518A6DD5"/>
    <w:rsid w:val="518B5EBC"/>
    <w:rsid w:val="51B269D5"/>
    <w:rsid w:val="51C847D3"/>
    <w:rsid w:val="51CB6BEB"/>
    <w:rsid w:val="51D84E64"/>
    <w:rsid w:val="51EF3AF8"/>
    <w:rsid w:val="52181704"/>
    <w:rsid w:val="521C7FFB"/>
    <w:rsid w:val="52306A4E"/>
    <w:rsid w:val="52374280"/>
    <w:rsid w:val="526D6413"/>
    <w:rsid w:val="528D00BF"/>
    <w:rsid w:val="52997E0A"/>
    <w:rsid w:val="529B3E7E"/>
    <w:rsid w:val="52BB6C5F"/>
    <w:rsid w:val="52CD6993"/>
    <w:rsid w:val="52F12681"/>
    <w:rsid w:val="5311687F"/>
    <w:rsid w:val="532742F5"/>
    <w:rsid w:val="53361382"/>
    <w:rsid w:val="53426F82"/>
    <w:rsid w:val="534704F3"/>
    <w:rsid w:val="537C341E"/>
    <w:rsid w:val="5394300C"/>
    <w:rsid w:val="53954603"/>
    <w:rsid w:val="53961E84"/>
    <w:rsid w:val="539E3289"/>
    <w:rsid w:val="53B35B89"/>
    <w:rsid w:val="53BD44F8"/>
    <w:rsid w:val="53C102A5"/>
    <w:rsid w:val="53C71634"/>
    <w:rsid w:val="53D130B9"/>
    <w:rsid w:val="53D578AD"/>
    <w:rsid w:val="53D8739D"/>
    <w:rsid w:val="53E53868"/>
    <w:rsid w:val="53E615EB"/>
    <w:rsid w:val="53FD4237"/>
    <w:rsid w:val="540422AE"/>
    <w:rsid w:val="54072224"/>
    <w:rsid w:val="540C7DCC"/>
    <w:rsid w:val="540E2DBF"/>
    <w:rsid w:val="54117C43"/>
    <w:rsid w:val="541E67E5"/>
    <w:rsid w:val="54280ECF"/>
    <w:rsid w:val="543D3ED6"/>
    <w:rsid w:val="5449029B"/>
    <w:rsid w:val="544B4013"/>
    <w:rsid w:val="54512E7F"/>
    <w:rsid w:val="5455279C"/>
    <w:rsid w:val="545E7E57"/>
    <w:rsid w:val="54715AEA"/>
    <w:rsid w:val="549635BC"/>
    <w:rsid w:val="549E2194"/>
    <w:rsid w:val="54A83213"/>
    <w:rsid w:val="54D062C6"/>
    <w:rsid w:val="54D73AF9"/>
    <w:rsid w:val="54E53F02"/>
    <w:rsid w:val="54FE1085"/>
    <w:rsid w:val="54FF095A"/>
    <w:rsid w:val="550126F3"/>
    <w:rsid w:val="55065E9B"/>
    <w:rsid w:val="550804D7"/>
    <w:rsid w:val="55083F5C"/>
    <w:rsid w:val="55090897"/>
    <w:rsid w:val="550A17D8"/>
    <w:rsid w:val="550D751A"/>
    <w:rsid w:val="55207A5F"/>
    <w:rsid w:val="5568601F"/>
    <w:rsid w:val="55774994"/>
    <w:rsid w:val="558E065B"/>
    <w:rsid w:val="558E52F0"/>
    <w:rsid w:val="55900181"/>
    <w:rsid w:val="55917DD5"/>
    <w:rsid w:val="55A25378"/>
    <w:rsid w:val="55B95303"/>
    <w:rsid w:val="55C3429A"/>
    <w:rsid w:val="55CB6554"/>
    <w:rsid w:val="55D20D60"/>
    <w:rsid w:val="55D32E9F"/>
    <w:rsid w:val="55D923DF"/>
    <w:rsid w:val="55E74FF6"/>
    <w:rsid w:val="55E95892"/>
    <w:rsid w:val="56042928"/>
    <w:rsid w:val="561D5ED7"/>
    <w:rsid w:val="564B416B"/>
    <w:rsid w:val="56533F5A"/>
    <w:rsid w:val="565D002E"/>
    <w:rsid w:val="56603C8D"/>
    <w:rsid w:val="56666EE2"/>
    <w:rsid w:val="56725887"/>
    <w:rsid w:val="567F7FA4"/>
    <w:rsid w:val="56813D1C"/>
    <w:rsid w:val="568315AE"/>
    <w:rsid w:val="569069B5"/>
    <w:rsid w:val="569B2137"/>
    <w:rsid w:val="56A254D7"/>
    <w:rsid w:val="56B066E6"/>
    <w:rsid w:val="56B67E04"/>
    <w:rsid w:val="56D976B4"/>
    <w:rsid w:val="56E524FD"/>
    <w:rsid w:val="56E91E6C"/>
    <w:rsid w:val="56EF512A"/>
    <w:rsid w:val="56FA762A"/>
    <w:rsid w:val="570375C9"/>
    <w:rsid w:val="57214D3F"/>
    <w:rsid w:val="5729318C"/>
    <w:rsid w:val="572C0D5C"/>
    <w:rsid w:val="573A176E"/>
    <w:rsid w:val="574F7BAD"/>
    <w:rsid w:val="57544F8D"/>
    <w:rsid w:val="57566F57"/>
    <w:rsid w:val="57580F21"/>
    <w:rsid w:val="57672F12"/>
    <w:rsid w:val="576F626A"/>
    <w:rsid w:val="57763155"/>
    <w:rsid w:val="577B69BD"/>
    <w:rsid w:val="57835872"/>
    <w:rsid w:val="578879ED"/>
    <w:rsid w:val="57893893"/>
    <w:rsid w:val="5789732C"/>
    <w:rsid w:val="578D049F"/>
    <w:rsid w:val="5798301E"/>
    <w:rsid w:val="57994519"/>
    <w:rsid w:val="57B16F91"/>
    <w:rsid w:val="57C245EC"/>
    <w:rsid w:val="57CF0DF2"/>
    <w:rsid w:val="57D4431F"/>
    <w:rsid w:val="57D56238"/>
    <w:rsid w:val="57EF4CB5"/>
    <w:rsid w:val="58006EC2"/>
    <w:rsid w:val="58234B0E"/>
    <w:rsid w:val="5846521D"/>
    <w:rsid w:val="58474AF1"/>
    <w:rsid w:val="584F7295"/>
    <w:rsid w:val="5863034B"/>
    <w:rsid w:val="589917F1"/>
    <w:rsid w:val="58AE63FA"/>
    <w:rsid w:val="58B71C77"/>
    <w:rsid w:val="58B93F14"/>
    <w:rsid w:val="58E4759A"/>
    <w:rsid w:val="590429E2"/>
    <w:rsid w:val="59080725"/>
    <w:rsid w:val="590C1717"/>
    <w:rsid w:val="59262959"/>
    <w:rsid w:val="59367040"/>
    <w:rsid w:val="59487A92"/>
    <w:rsid w:val="595630FC"/>
    <w:rsid w:val="595B4438"/>
    <w:rsid w:val="59653481"/>
    <w:rsid w:val="596545F4"/>
    <w:rsid w:val="596D09B6"/>
    <w:rsid w:val="597F7976"/>
    <w:rsid w:val="59846BF5"/>
    <w:rsid w:val="59861649"/>
    <w:rsid w:val="599C17F3"/>
    <w:rsid w:val="599E4A6B"/>
    <w:rsid w:val="59A3044D"/>
    <w:rsid w:val="59A65848"/>
    <w:rsid w:val="59C363FA"/>
    <w:rsid w:val="59C72A09"/>
    <w:rsid w:val="59CC01B7"/>
    <w:rsid w:val="59D50EFB"/>
    <w:rsid w:val="59E40E01"/>
    <w:rsid w:val="59EC76FE"/>
    <w:rsid w:val="59F842F5"/>
    <w:rsid w:val="59FF6B39"/>
    <w:rsid w:val="59FF791E"/>
    <w:rsid w:val="5A051ED8"/>
    <w:rsid w:val="5A0E630B"/>
    <w:rsid w:val="5A287271"/>
    <w:rsid w:val="5A33357F"/>
    <w:rsid w:val="5A427C66"/>
    <w:rsid w:val="5A584D94"/>
    <w:rsid w:val="5A7303A1"/>
    <w:rsid w:val="5A823385"/>
    <w:rsid w:val="5ABA5A4E"/>
    <w:rsid w:val="5ACE5056"/>
    <w:rsid w:val="5AE74E5C"/>
    <w:rsid w:val="5AE96334"/>
    <w:rsid w:val="5B0D2022"/>
    <w:rsid w:val="5B0E18F6"/>
    <w:rsid w:val="5B175761"/>
    <w:rsid w:val="5B412E93"/>
    <w:rsid w:val="5B9A79D9"/>
    <w:rsid w:val="5B9E0ECC"/>
    <w:rsid w:val="5BB719F9"/>
    <w:rsid w:val="5BBD517E"/>
    <w:rsid w:val="5BC62E14"/>
    <w:rsid w:val="5BCD355F"/>
    <w:rsid w:val="5BDF50D7"/>
    <w:rsid w:val="5BFF1FE5"/>
    <w:rsid w:val="5C1F61D9"/>
    <w:rsid w:val="5C24139D"/>
    <w:rsid w:val="5C3C47F7"/>
    <w:rsid w:val="5C4A4BB0"/>
    <w:rsid w:val="5C6E4D42"/>
    <w:rsid w:val="5C6F4617"/>
    <w:rsid w:val="5C7834CB"/>
    <w:rsid w:val="5C7D66E9"/>
    <w:rsid w:val="5C81040B"/>
    <w:rsid w:val="5C841E70"/>
    <w:rsid w:val="5C906A3F"/>
    <w:rsid w:val="5CAB5141"/>
    <w:rsid w:val="5CB059DC"/>
    <w:rsid w:val="5CBC52BF"/>
    <w:rsid w:val="5CC75CDF"/>
    <w:rsid w:val="5CD85C06"/>
    <w:rsid w:val="5CE84AF5"/>
    <w:rsid w:val="5CEB0AAB"/>
    <w:rsid w:val="5CF70B75"/>
    <w:rsid w:val="5CFE60C6"/>
    <w:rsid w:val="5D114059"/>
    <w:rsid w:val="5D181FF6"/>
    <w:rsid w:val="5D1C3923"/>
    <w:rsid w:val="5D1D33E8"/>
    <w:rsid w:val="5D222C84"/>
    <w:rsid w:val="5D431D2B"/>
    <w:rsid w:val="5D557CB0"/>
    <w:rsid w:val="5D563694"/>
    <w:rsid w:val="5D5660BF"/>
    <w:rsid w:val="5D713536"/>
    <w:rsid w:val="5D7869AF"/>
    <w:rsid w:val="5DAA7FFC"/>
    <w:rsid w:val="5DBF2285"/>
    <w:rsid w:val="5DC34C1A"/>
    <w:rsid w:val="5DE27796"/>
    <w:rsid w:val="5DEE02FC"/>
    <w:rsid w:val="5DF04D67"/>
    <w:rsid w:val="5DF06803"/>
    <w:rsid w:val="5DF5426D"/>
    <w:rsid w:val="5DFA0137"/>
    <w:rsid w:val="5E084D23"/>
    <w:rsid w:val="5E135BA1"/>
    <w:rsid w:val="5E172DBF"/>
    <w:rsid w:val="5E196F30"/>
    <w:rsid w:val="5E1E45C6"/>
    <w:rsid w:val="5E206043"/>
    <w:rsid w:val="5E341674"/>
    <w:rsid w:val="5E370D27"/>
    <w:rsid w:val="5E3924AE"/>
    <w:rsid w:val="5E3D59D6"/>
    <w:rsid w:val="5E6C52B2"/>
    <w:rsid w:val="5E7434F8"/>
    <w:rsid w:val="5E77125A"/>
    <w:rsid w:val="5E7E33FE"/>
    <w:rsid w:val="5E7E6F41"/>
    <w:rsid w:val="5E8E6FD6"/>
    <w:rsid w:val="5EAE58CA"/>
    <w:rsid w:val="5EB56C59"/>
    <w:rsid w:val="5EBD5B0D"/>
    <w:rsid w:val="5ED656F0"/>
    <w:rsid w:val="5EDF4829"/>
    <w:rsid w:val="5EE035AA"/>
    <w:rsid w:val="5EE61D7E"/>
    <w:rsid w:val="5EEF1CDA"/>
    <w:rsid w:val="5EFA466C"/>
    <w:rsid w:val="5EFE107F"/>
    <w:rsid w:val="5F0C25F1"/>
    <w:rsid w:val="5F1243E9"/>
    <w:rsid w:val="5F125E59"/>
    <w:rsid w:val="5F1C0A86"/>
    <w:rsid w:val="5F304531"/>
    <w:rsid w:val="5F3833E6"/>
    <w:rsid w:val="5F453BDB"/>
    <w:rsid w:val="5F562317"/>
    <w:rsid w:val="5F6669D5"/>
    <w:rsid w:val="5F6D12E1"/>
    <w:rsid w:val="5F750196"/>
    <w:rsid w:val="5F824E74"/>
    <w:rsid w:val="5F887EC9"/>
    <w:rsid w:val="5F8A3248"/>
    <w:rsid w:val="5F93061C"/>
    <w:rsid w:val="5F93686E"/>
    <w:rsid w:val="5FB011CE"/>
    <w:rsid w:val="5FD37803"/>
    <w:rsid w:val="5FDB78E5"/>
    <w:rsid w:val="5FFA1A80"/>
    <w:rsid w:val="5FFB4236"/>
    <w:rsid w:val="600F690F"/>
    <w:rsid w:val="60111F6E"/>
    <w:rsid w:val="6022583B"/>
    <w:rsid w:val="6042451C"/>
    <w:rsid w:val="604364E6"/>
    <w:rsid w:val="604C539B"/>
    <w:rsid w:val="60591866"/>
    <w:rsid w:val="60593614"/>
    <w:rsid w:val="605E50CE"/>
    <w:rsid w:val="607448F1"/>
    <w:rsid w:val="607D065B"/>
    <w:rsid w:val="60883EF9"/>
    <w:rsid w:val="608C0C1C"/>
    <w:rsid w:val="60904C00"/>
    <w:rsid w:val="60A26D69"/>
    <w:rsid w:val="60AA5BD3"/>
    <w:rsid w:val="60B30F76"/>
    <w:rsid w:val="60BB25C3"/>
    <w:rsid w:val="60BF3DBF"/>
    <w:rsid w:val="60C5514D"/>
    <w:rsid w:val="60CE4002"/>
    <w:rsid w:val="60D876E9"/>
    <w:rsid w:val="60DF1D6B"/>
    <w:rsid w:val="60E37B05"/>
    <w:rsid w:val="60E94998"/>
    <w:rsid w:val="60EC038A"/>
    <w:rsid w:val="6101018C"/>
    <w:rsid w:val="611D2893"/>
    <w:rsid w:val="611F5489"/>
    <w:rsid w:val="612135A9"/>
    <w:rsid w:val="61217725"/>
    <w:rsid w:val="61270370"/>
    <w:rsid w:val="61333E65"/>
    <w:rsid w:val="613D4B85"/>
    <w:rsid w:val="61412A26"/>
    <w:rsid w:val="6146003C"/>
    <w:rsid w:val="61502C69"/>
    <w:rsid w:val="61532759"/>
    <w:rsid w:val="6162474A"/>
    <w:rsid w:val="6172193C"/>
    <w:rsid w:val="61844A98"/>
    <w:rsid w:val="618B52DC"/>
    <w:rsid w:val="618E3791"/>
    <w:rsid w:val="61920962"/>
    <w:rsid w:val="619568CD"/>
    <w:rsid w:val="61A95302"/>
    <w:rsid w:val="61B168E6"/>
    <w:rsid w:val="61BE003D"/>
    <w:rsid w:val="61DE0274"/>
    <w:rsid w:val="61F7150F"/>
    <w:rsid w:val="61F77588"/>
    <w:rsid w:val="62013F63"/>
    <w:rsid w:val="62066A55"/>
    <w:rsid w:val="62286C52"/>
    <w:rsid w:val="62332990"/>
    <w:rsid w:val="62353C0D"/>
    <w:rsid w:val="62487793"/>
    <w:rsid w:val="6267026A"/>
    <w:rsid w:val="626B2A2A"/>
    <w:rsid w:val="62724528"/>
    <w:rsid w:val="62733A98"/>
    <w:rsid w:val="6276028F"/>
    <w:rsid w:val="6280757E"/>
    <w:rsid w:val="62BF1D86"/>
    <w:rsid w:val="62D47DDC"/>
    <w:rsid w:val="62F13654"/>
    <w:rsid w:val="62F4540B"/>
    <w:rsid w:val="63071A4D"/>
    <w:rsid w:val="63144DBA"/>
    <w:rsid w:val="631F3D7B"/>
    <w:rsid w:val="63312626"/>
    <w:rsid w:val="63326211"/>
    <w:rsid w:val="636447A9"/>
    <w:rsid w:val="63676048"/>
    <w:rsid w:val="6373359C"/>
    <w:rsid w:val="63805640"/>
    <w:rsid w:val="638D1F52"/>
    <w:rsid w:val="639F3A33"/>
    <w:rsid w:val="63BC6393"/>
    <w:rsid w:val="63F7027E"/>
    <w:rsid w:val="64142104"/>
    <w:rsid w:val="6418785F"/>
    <w:rsid w:val="641C6E32"/>
    <w:rsid w:val="64224F28"/>
    <w:rsid w:val="6447573E"/>
    <w:rsid w:val="6449399F"/>
    <w:rsid w:val="645B2050"/>
    <w:rsid w:val="645B44AA"/>
    <w:rsid w:val="64654C7D"/>
    <w:rsid w:val="64654FB0"/>
    <w:rsid w:val="647903E1"/>
    <w:rsid w:val="648B3199"/>
    <w:rsid w:val="64986BCD"/>
    <w:rsid w:val="64A10CEF"/>
    <w:rsid w:val="64A62BA0"/>
    <w:rsid w:val="64AD03D2"/>
    <w:rsid w:val="64B73164"/>
    <w:rsid w:val="64D37E39"/>
    <w:rsid w:val="64D92F75"/>
    <w:rsid w:val="64E01E75"/>
    <w:rsid w:val="650A1380"/>
    <w:rsid w:val="650E528B"/>
    <w:rsid w:val="65143FAD"/>
    <w:rsid w:val="652A5B36"/>
    <w:rsid w:val="653964BC"/>
    <w:rsid w:val="6569460E"/>
    <w:rsid w:val="656B46CF"/>
    <w:rsid w:val="656F7435"/>
    <w:rsid w:val="6573529C"/>
    <w:rsid w:val="65797D27"/>
    <w:rsid w:val="65826BA0"/>
    <w:rsid w:val="658B4849"/>
    <w:rsid w:val="65A01F78"/>
    <w:rsid w:val="65A2780B"/>
    <w:rsid w:val="65A823AD"/>
    <w:rsid w:val="65D5373C"/>
    <w:rsid w:val="65DF6369"/>
    <w:rsid w:val="660B3602"/>
    <w:rsid w:val="662446C4"/>
    <w:rsid w:val="66291CDA"/>
    <w:rsid w:val="664A36BB"/>
    <w:rsid w:val="664D11EC"/>
    <w:rsid w:val="66530A0F"/>
    <w:rsid w:val="665A1E94"/>
    <w:rsid w:val="665A5DC5"/>
    <w:rsid w:val="666D1BC7"/>
    <w:rsid w:val="667967BE"/>
    <w:rsid w:val="66A7157D"/>
    <w:rsid w:val="66AA6977"/>
    <w:rsid w:val="66B9625D"/>
    <w:rsid w:val="66BE68C6"/>
    <w:rsid w:val="66C2220F"/>
    <w:rsid w:val="66CA288E"/>
    <w:rsid w:val="66D33382"/>
    <w:rsid w:val="66DD4308"/>
    <w:rsid w:val="66DD706B"/>
    <w:rsid w:val="66E3030C"/>
    <w:rsid w:val="66F95B50"/>
    <w:rsid w:val="67077707"/>
    <w:rsid w:val="673A73B1"/>
    <w:rsid w:val="6740552D"/>
    <w:rsid w:val="6744501E"/>
    <w:rsid w:val="6764746E"/>
    <w:rsid w:val="67791B28"/>
    <w:rsid w:val="677A47A5"/>
    <w:rsid w:val="678C2521"/>
    <w:rsid w:val="67A71109"/>
    <w:rsid w:val="67BC2E06"/>
    <w:rsid w:val="67BC4956"/>
    <w:rsid w:val="67BE4E07"/>
    <w:rsid w:val="67C312B5"/>
    <w:rsid w:val="67C95523"/>
    <w:rsid w:val="67CA4A29"/>
    <w:rsid w:val="67D50B14"/>
    <w:rsid w:val="67DF665A"/>
    <w:rsid w:val="67EE31DB"/>
    <w:rsid w:val="683D13F8"/>
    <w:rsid w:val="683F7593"/>
    <w:rsid w:val="68476448"/>
    <w:rsid w:val="6865349E"/>
    <w:rsid w:val="687A03D1"/>
    <w:rsid w:val="687F2AFC"/>
    <w:rsid w:val="68997325"/>
    <w:rsid w:val="689C2C37"/>
    <w:rsid w:val="68B97345"/>
    <w:rsid w:val="68BC6E36"/>
    <w:rsid w:val="68D25E84"/>
    <w:rsid w:val="68D9617B"/>
    <w:rsid w:val="68E343C2"/>
    <w:rsid w:val="68EE3D08"/>
    <w:rsid w:val="68F16ADF"/>
    <w:rsid w:val="68F6059A"/>
    <w:rsid w:val="69407A67"/>
    <w:rsid w:val="694675AB"/>
    <w:rsid w:val="694766FF"/>
    <w:rsid w:val="694D7A8E"/>
    <w:rsid w:val="696929B9"/>
    <w:rsid w:val="69A04061"/>
    <w:rsid w:val="69B517AA"/>
    <w:rsid w:val="69B51B3F"/>
    <w:rsid w:val="69E55659"/>
    <w:rsid w:val="69FE0E72"/>
    <w:rsid w:val="6A116D0D"/>
    <w:rsid w:val="6A1E7827"/>
    <w:rsid w:val="6A246A40"/>
    <w:rsid w:val="6A442A90"/>
    <w:rsid w:val="6A4B09E3"/>
    <w:rsid w:val="6A4B221F"/>
    <w:rsid w:val="6A5C6B5E"/>
    <w:rsid w:val="6A662EBD"/>
    <w:rsid w:val="6A6C1BD1"/>
    <w:rsid w:val="6A6F5CE4"/>
    <w:rsid w:val="6A762B07"/>
    <w:rsid w:val="6A786D8C"/>
    <w:rsid w:val="6A8A71EB"/>
    <w:rsid w:val="6AA95198"/>
    <w:rsid w:val="6AAD4C88"/>
    <w:rsid w:val="6AB63450"/>
    <w:rsid w:val="6ABD15B4"/>
    <w:rsid w:val="6AC17707"/>
    <w:rsid w:val="6AC63F9C"/>
    <w:rsid w:val="6AD9782B"/>
    <w:rsid w:val="6ADE7537"/>
    <w:rsid w:val="6AE515C0"/>
    <w:rsid w:val="6B037C8C"/>
    <w:rsid w:val="6B0B7C00"/>
    <w:rsid w:val="6B0D07E2"/>
    <w:rsid w:val="6B2661ED"/>
    <w:rsid w:val="6B350E9F"/>
    <w:rsid w:val="6B3E3BC3"/>
    <w:rsid w:val="6B476531"/>
    <w:rsid w:val="6B594E10"/>
    <w:rsid w:val="6B6269C4"/>
    <w:rsid w:val="6B667313"/>
    <w:rsid w:val="6B6A0DCB"/>
    <w:rsid w:val="6B741C4A"/>
    <w:rsid w:val="6B826114"/>
    <w:rsid w:val="6B8A321B"/>
    <w:rsid w:val="6B8E792C"/>
    <w:rsid w:val="6B9145AA"/>
    <w:rsid w:val="6BA51E03"/>
    <w:rsid w:val="6BAC3191"/>
    <w:rsid w:val="6BAC54D7"/>
    <w:rsid w:val="6BD10E4A"/>
    <w:rsid w:val="6C0B18C7"/>
    <w:rsid w:val="6C3C328C"/>
    <w:rsid w:val="6C4C59CB"/>
    <w:rsid w:val="6C5553FD"/>
    <w:rsid w:val="6C5C72E9"/>
    <w:rsid w:val="6C7E24CF"/>
    <w:rsid w:val="6C8B5F82"/>
    <w:rsid w:val="6C9500C9"/>
    <w:rsid w:val="6CBF5146"/>
    <w:rsid w:val="6CC87B57"/>
    <w:rsid w:val="6CCC5A02"/>
    <w:rsid w:val="6CD26C28"/>
    <w:rsid w:val="6CD930A1"/>
    <w:rsid w:val="6CDC2A73"/>
    <w:rsid w:val="6D0A5218"/>
    <w:rsid w:val="6D1000FF"/>
    <w:rsid w:val="6D170ADE"/>
    <w:rsid w:val="6D1B78FA"/>
    <w:rsid w:val="6D2531FB"/>
    <w:rsid w:val="6D294A6F"/>
    <w:rsid w:val="6D2C27DC"/>
    <w:rsid w:val="6D3204BB"/>
    <w:rsid w:val="6D355F38"/>
    <w:rsid w:val="6D443607"/>
    <w:rsid w:val="6D512242"/>
    <w:rsid w:val="6D5E2269"/>
    <w:rsid w:val="6D6261FE"/>
    <w:rsid w:val="6D68758C"/>
    <w:rsid w:val="6D6A50B2"/>
    <w:rsid w:val="6D705AC4"/>
    <w:rsid w:val="6D877A12"/>
    <w:rsid w:val="6D987164"/>
    <w:rsid w:val="6D9914F3"/>
    <w:rsid w:val="6D9F58BF"/>
    <w:rsid w:val="6DA30CAE"/>
    <w:rsid w:val="6DA85BDA"/>
    <w:rsid w:val="6DB0362D"/>
    <w:rsid w:val="6DB12070"/>
    <w:rsid w:val="6DBD739B"/>
    <w:rsid w:val="6DC5053A"/>
    <w:rsid w:val="6E0E5A3E"/>
    <w:rsid w:val="6E290AC9"/>
    <w:rsid w:val="6E3A7E63"/>
    <w:rsid w:val="6E4504C3"/>
    <w:rsid w:val="6E4759B4"/>
    <w:rsid w:val="6E4E6782"/>
    <w:rsid w:val="6E510020"/>
    <w:rsid w:val="6E6C6C08"/>
    <w:rsid w:val="6E7066F8"/>
    <w:rsid w:val="6E8757F0"/>
    <w:rsid w:val="6E970129"/>
    <w:rsid w:val="6E9A1306"/>
    <w:rsid w:val="6E9B4975"/>
    <w:rsid w:val="6EB67281"/>
    <w:rsid w:val="6EB81D12"/>
    <w:rsid w:val="6EBE0B4D"/>
    <w:rsid w:val="6EBE1382"/>
    <w:rsid w:val="6ECA5753"/>
    <w:rsid w:val="6ED948B5"/>
    <w:rsid w:val="6EE175F6"/>
    <w:rsid w:val="6EEA46FD"/>
    <w:rsid w:val="6F0357BE"/>
    <w:rsid w:val="6F0926A9"/>
    <w:rsid w:val="6F26497C"/>
    <w:rsid w:val="6F5D37D8"/>
    <w:rsid w:val="6F72024E"/>
    <w:rsid w:val="6F745D74"/>
    <w:rsid w:val="6F7B6F1E"/>
    <w:rsid w:val="6F7C183E"/>
    <w:rsid w:val="6F855C92"/>
    <w:rsid w:val="6F8A37EA"/>
    <w:rsid w:val="6F975F07"/>
    <w:rsid w:val="6FA4387C"/>
    <w:rsid w:val="6FAA3E8C"/>
    <w:rsid w:val="6FB940CF"/>
    <w:rsid w:val="6FC962EF"/>
    <w:rsid w:val="6FD809F9"/>
    <w:rsid w:val="6FD827A7"/>
    <w:rsid w:val="6FE50A20"/>
    <w:rsid w:val="70011F1C"/>
    <w:rsid w:val="700F1F41"/>
    <w:rsid w:val="701B7359"/>
    <w:rsid w:val="702C664F"/>
    <w:rsid w:val="702E49BF"/>
    <w:rsid w:val="7047792D"/>
    <w:rsid w:val="707F3935"/>
    <w:rsid w:val="708244C1"/>
    <w:rsid w:val="70A02B99"/>
    <w:rsid w:val="70A72179"/>
    <w:rsid w:val="70CB6663"/>
    <w:rsid w:val="70CC63C8"/>
    <w:rsid w:val="70E94540"/>
    <w:rsid w:val="71092E34"/>
    <w:rsid w:val="71104A52"/>
    <w:rsid w:val="711D6F50"/>
    <w:rsid w:val="711E57A5"/>
    <w:rsid w:val="71212D63"/>
    <w:rsid w:val="71441FB3"/>
    <w:rsid w:val="71664C5D"/>
    <w:rsid w:val="717B430C"/>
    <w:rsid w:val="718F158B"/>
    <w:rsid w:val="718F6E95"/>
    <w:rsid w:val="71A010A2"/>
    <w:rsid w:val="71A92648"/>
    <w:rsid w:val="71D023F7"/>
    <w:rsid w:val="71D05719"/>
    <w:rsid w:val="71E11EBD"/>
    <w:rsid w:val="71EB6140"/>
    <w:rsid w:val="71F17161"/>
    <w:rsid w:val="71FB09CF"/>
    <w:rsid w:val="720032B2"/>
    <w:rsid w:val="72007D93"/>
    <w:rsid w:val="721B2E1F"/>
    <w:rsid w:val="721B697B"/>
    <w:rsid w:val="724203AC"/>
    <w:rsid w:val="724F2AC9"/>
    <w:rsid w:val="725733E1"/>
    <w:rsid w:val="7257401A"/>
    <w:rsid w:val="725F0F5E"/>
    <w:rsid w:val="72646574"/>
    <w:rsid w:val="727E4D11"/>
    <w:rsid w:val="72891CE4"/>
    <w:rsid w:val="728E539F"/>
    <w:rsid w:val="729A3A51"/>
    <w:rsid w:val="729F135A"/>
    <w:rsid w:val="72A72905"/>
    <w:rsid w:val="72A9188A"/>
    <w:rsid w:val="72AE0FD1"/>
    <w:rsid w:val="72B74013"/>
    <w:rsid w:val="72C2773E"/>
    <w:rsid w:val="72C9287B"/>
    <w:rsid w:val="72DB6526"/>
    <w:rsid w:val="72E6561C"/>
    <w:rsid w:val="73012015"/>
    <w:rsid w:val="731358A4"/>
    <w:rsid w:val="73226BE4"/>
    <w:rsid w:val="732B52E4"/>
    <w:rsid w:val="73471D8B"/>
    <w:rsid w:val="734B14E2"/>
    <w:rsid w:val="736E6F7E"/>
    <w:rsid w:val="7371012D"/>
    <w:rsid w:val="738022BD"/>
    <w:rsid w:val="738B0EBB"/>
    <w:rsid w:val="738E492B"/>
    <w:rsid w:val="7399049F"/>
    <w:rsid w:val="739D79E9"/>
    <w:rsid w:val="73A6496A"/>
    <w:rsid w:val="73A744CA"/>
    <w:rsid w:val="73C3551C"/>
    <w:rsid w:val="73C7645B"/>
    <w:rsid w:val="73CC0FB2"/>
    <w:rsid w:val="73D6781F"/>
    <w:rsid w:val="73DF482D"/>
    <w:rsid w:val="73E01C2A"/>
    <w:rsid w:val="73E31183"/>
    <w:rsid w:val="73FB4CB6"/>
    <w:rsid w:val="74017DF2"/>
    <w:rsid w:val="740F42BD"/>
    <w:rsid w:val="74220C76"/>
    <w:rsid w:val="74281823"/>
    <w:rsid w:val="743D7217"/>
    <w:rsid w:val="74446AC0"/>
    <w:rsid w:val="744F6DB0"/>
    <w:rsid w:val="74621CC2"/>
    <w:rsid w:val="74637F1A"/>
    <w:rsid w:val="747D391D"/>
    <w:rsid w:val="748047DE"/>
    <w:rsid w:val="74870052"/>
    <w:rsid w:val="7487167C"/>
    <w:rsid w:val="74926F89"/>
    <w:rsid w:val="749A20D3"/>
    <w:rsid w:val="74A14D0C"/>
    <w:rsid w:val="74A17437"/>
    <w:rsid w:val="74AA6167"/>
    <w:rsid w:val="74AE211B"/>
    <w:rsid w:val="74B17A6A"/>
    <w:rsid w:val="74B25633"/>
    <w:rsid w:val="74C432FA"/>
    <w:rsid w:val="74EB2A4C"/>
    <w:rsid w:val="74ED2FA0"/>
    <w:rsid w:val="74F00593"/>
    <w:rsid w:val="74F040EF"/>
    <w:rsid w:val="750C54E1"/>
    <w:rsid w:val="750F7C4B"/>
    <w:rsid w:val="75182470"/>
    <w:rsid w:val="752704E9"/>
    <w:rsid w:val="75550AA0"/>
    <w:rsid w:val="7557632B"/>
    <w:rsid w:val="75705230"/>
    <w:rsid w:val="75742828"/>
    <w:rsid w:val="7590142E"/>
    <w:rsid w:val="759E1430"/>
    <w:rsid w:val="75A11CFC"/>
    <w:rsid w:val="75AC07FE"/>
    <w:rsid w:val="75BA64AB"/>
    <w:rsid w:val="75BD7AE6"/>
    <w:rsid w:val="75C8636F"/>
    <w:rsid w:val="75CB1A9A"/>
    <w:rsid w:val="75CF63FA"/>
    <w:rsid w:val="75D15C89"/>
    <w:rsid w:val="75D51537"/>
    <w:rsid w:val="75DA08FB"/>
    <w:rsid w:val="75EB2B08"/>
    <w:rsid w:val="75F0011F"/>
    <w:rsid w:val="760A030B"/>
    <w:rsid w:val="760F67F7"/>
    <w:rsid w:val="76124539"/>
    <w:rsid w:val="76136A98"/>
    <w:rsid w:val="763149BF"/>
    <w:rsid w:val="76320737"/>
    <w:rsid w:val="76544B8E"/>
    <w:rsid w:val="766D196F"/>
    <w:rsid w:val="767139A2"/>
    <w:rsid w:val="76790114"/>
    <w:rsid w:val="769F311D"/>
    <w:rsid w:val="76BE1FCB"/>
    <w:rsid w:val="76BF3606"/>
    <w:rsid w:val="76BF709D"/>
    <w:rsid w:val="76C43A85"/>
    <w:rsid w:val="76E76296"/>
    <w:rsid w:val="76E97048"/>
    <w:rsid w:val="76FB321F"/>
    <w:rsid w:val="770245AD"/>
    <w:rsid w:val="77082056"/>
    <w:rsid w:val="770E6AAE"/>
    <w:rsid w:val="770F2861"/>
    <w:rsid w:val="772D7293"/>
    <w:rsid w:val="77416E84"/>
    <w:rsid w:val="77440722"/>
    <w:rsid w:val="77512E3F"/>
    <w:rsid w:val="77536AA1"/>
    <w:rsid w:val="77660698"/>
    <w:rsid w:val="77721814"/>
    <w:rsid w:val="77764DC6"/>
    <w:rsid w:val="77902BB7"/>
    <w:rsid w:val="77981847"/>
    <w:rsid w:val="77986993"/>
    <w:rsid w:val="77A06E95"/>
    <w:rsid w:val="77A31369"/>
    <w:rsid w:val="77A64F39"/>
    <w:rsid w:val="77AB2B5F"/>
    <w:rsid w:val="77B452E7"/>
    <w:rsid w:val="77C47AB5"/>
    <w:rsid w:val="77CD482C"/>
    <w:rsid w:val="77CF7BCC"/>
    <w:rsid w:val="77D017BE"/>
    <w:rsid w:val="77D61195"/>
    <w:rsid w:val="77F263D0"/>
    <w:rsid w:val="77FC724F"/>
    <w:rsid w:val="780E2ADE"/>
    <w:rsid w:val="7812790F"/>
    <w:rsid w:val="781D0226"/>
    <w:rsid w:val="781F6A99"/>
    <w:rsid w:val="782B63CE"/>
    <w:rsid w:val="782C351C"/>
    <w:rsid w:val="78372035"/>
    <w:rsid w:val="78380231"/>
    <w:rsid w:val="78414C61"/>
    <w:rsid w:val="78526E6F"/>
    <w:rsid w:val="785A272A"/>
    <w:rsid w:val="787E5EB6"/>
    <w:rsid w:val="78845E88"/>
    <w:rsid w:val="788F3C1F"/>
    <w:rsid w:val="78A7540C"/>
    <w:rsid w:val="78AF0F9C"/>
    <w:rsid w:val="78B70A5B"/>
    <w:rsid w:val="78B90C9C"/>
    <w:rsid w:val="78E52B1B"/>
    <w:rsid w:val="78F67A97"/>
    <w:rsid w:val="790A14F7"/>
    <w:rsid w:val="79174B03"/>
    <w:rsid w:val="7919798C"/>
    <w:rsid w:val="79206F6D"/>
    <w:rsid w:val="79464C25"/>
    <w:rsid w:val="794E5888"/>
    <w:rsid w:val="795D33AB"/>
    <w:rsid w:val="797B41A3"/>
    <w:rsid w:val="79892D64"/>
    <w:rsid w:val="799B65F3"/>
    <w:rsid w:val="79A96F62"/>
    <w:rsid w:val="79B002F1"/>
    <w:rsid w:val="79BA2F1D"/>
    <w:rsid w:val="79BC6C95"/>
    <w:rsid w:val="79C8563A"/>
    <w:rsid w:val="79E20DEE"/>
    <w:rsid w:val="79E61F64"/>
    <w:rsid w:val="79F50F0C"/>
    <w:rsid w:val="7A081EDB"/>
    <w:rsid w:val="7A11255E"/>
    <w:rsid w:val="7A1C7734"/>
    <w:rsid w:val="7A1D2932"/>
    <w:rsid w:val="7A2A25EE"/>
    <w:rsid w:val="7A344A7E"/>
    <w:rsid w:val="7A37456E"/>
    <w:rsid w:val="7A427859"/>
    <w:rsid w:val="7A480094"/>
    <w:rsid w:val="7A4D09CC"/>
    <w:rsid w:val="7A5042C4"/>
    <w:rsid w:val="7A67448F"/>
    <w:rsid w:val="7A707A80"/>
    <w:rsid w:val="7A7157AF"/>
    <w:rsid w:val="7AAB6762"/>
    <w:rsid w:val="7AB636E5"/>
    <w:rsid w:val="7AC540CB"/>
    <w:rsid w:val="7AE00762"/>
    <w:rsid w:val="7AE069B4"/>
    <w:rsid w:val="7AEC0D6A"/>
    <w:rsid w:val="7B113011"/>
    <w:rsid w:val="7B195F1B"/>
    <w:rsid w:val="7B2C1BF9"/>
    <w:rsid w:val="7B4C1878"/>
    <w:rsid w:val="7B691A9A"/>
    <w:rsid w:val="7B86620A"/>
    <w:rsid w:val="7B872DAB"/>
    <w:rsid w:val="7B886BB1"/>
    <w:rsid w:val="7B9C6D7F"/>
    <w:rsid w:val="7B9F7C4E"/>
    <w:rsid w:val="7BA47E64"/>
    <w:rsid w:val="7BC07FDA"/>
    <w:rsid w:val="7BC40083"/>
    <w:rsid w:val="7BC65BA9"/>
    <w:rsid w:val="7BC81986"/>
    <w:rsid w:val="7BD137C8"/>
    <w:rsid w:val="7BE12E76"/>
    <w:rsid w:val="7BE81FC4"/>
    <w:rsid w:val="7BF12F4B"/>
    <w:rsid w:val="7C0068D0"/>
    <w:rsid w:val="7C030BAC"/>
    <w:rsid w:val="7C05494A"/>
    <w:rsid w:val="7C156B31"/>
    <w:rsid w:val="7C18217D"/>
    <w:rsid w:val="7C26471C"/>
    <w:rsid w:val="7C322661"/>
    <w:rsid w:val="7C341A64"/>
    <w:rsid w:val="7C5C4760"/>
    <w:rsid w:val="7C5F0527"/>
    <w:rsid w:val="7C644133"/>
    <w:rsid w:val="7C716A88"/>
    <w:rsid w:val="7C74451B"/>
    <w:rsid w:val="7C7539D7"/>
    <w:rsid w:val="7C78687E"/>
    <w:rsid w:val="7C8D66C7"/>
    <w:rsid w:val="7C8E7993"/>
    <w:rsid w:val="7C961A20"/>
    <w:rsid w:val="7CAD6A46"/>
    <w:rsid w:val="7CC120EB"/>
    <w:rsid w:val="7CC702CD"/>
    <w:rsid w:val="7CD75B94"/>
    <w:rsid w:val="7CDC13FD"/>
    <w:rsid w:val="7CDD764F"/>
    <w:rsid w:val="7CE02C9B"/>
    <w:rsid w:val="7CE441D6"/>
    <w:rsid w:val="7CE927C4"/>
    <w:rsid w:val="7D250FF6"/>
    <w:rsid w:val="7D271B44"/>
    <w:rsid w:val="7D32101D"/>
    <w:rsid w:val="7D562F5D"/>
    <w:rsid w:val="7D606B79"/>
    <w:rsid w:val="7D697134"/>
    <w:rsid w:val="7D6A1528"/>
    <w:rsid w:val="7D7429D5"/>
    <w:rsid w:val="7D913F95"/>
    <w:rsid w:val="7DA20A00"/>
    <w:rsid w:val="7DB87774"/>
    <w:rsid w:val="7DC30F39"/>
    <w:rsid w:val="7DE12051"/>
    <w:rsid w:val="7DE14013"/>
    <w:rsid w:val="7DE2661C"/>
    <w:rsid w:val="7DE844FD"/>
    <w:rsid w:val="7E022710"/>
    <w:rsid w:val="7E0230E5"/>
    <w:rsid w:val="7E0639E5"/>
    <w:rsid w:val="7E097FCF"/>
    <w:rsid w:val="7E0E5F7F"/>
    <w:rsid w:val="7E161FF2"/>
    <w:rsid w:val="7E186A13"/>
    <w:rsid w:val="7E1A3F8B"/>
    <w:rsid w:val="7E1B5633"/>
    <w:rsid w:val="7E217B0B"/>
    <w:rsid w:val="7E24305B"/>
    <w:rsid w:val="7E2B263C"/>
    <w:rsid w:val="7E3C2153"/>
    <w:rsid w:val="7E3F7E95"/>
    <w:rsid w:val="7E431733"/>
    <w:rsid w:val="7E527BC8"/>
    <w:rsid w:val="7E597CD7"/>
    <w:rsid w:val="7E5D74F0"/>
    <w:rsid w:val="7E636E46"/>
    <w:rsid w:val="7E7538B7"/>
    <w:rsid w:val="7E893B09"/>
    <w:rsid w:val="7EA37C2B"/>
    <w:rsid w:val="7EB11107"/>
    <w:rsid w:val="7EB74F38"/>
    <w:rsid w:val="7EBB23D7"/>
    <w:rsid w:val="7EC62364"/>
    <w:rsid w:val="7ECB40AD"/>
    <w:rsid w:val="7ECB467D"/>
    <w:rsid w:val="7ED22AB7"/>
    <w:rsid w:val="7ED97EFB"/>
    <w:rsid w:val="7EE66B41"/>
    <w:rsid w:val="7EE747B5"/>
    <w:rsid w:val="7EF41076"/>
    <w:rsid w:val="7EF96296"/>
    <w:rsid w:val="7F007624"/>
    <w:rsid w:val="7F08472B"/>
    <w:rsid w:val="7F0E28E2"/>
    <w:rsid w:val="7F0F5AB9"/>
    <w:rsid w:val="7F166E48"/>
    <w:rsid w:val="7F1E0566"/>
    <w:rsid w:val="7F201A75"/>
    <w:rsid w:val="7F2132E9"/>
    <w:rsid w:val="7F264CB2"/>
    <w:rsid w:val="7F2A7E75"/>
    <w:rsid w:val="7F45772D"/>
    <w:rsid w:val="7F463BFE"/>
    <w:rsid w:val="7F477001"/>
    <w:rsid w:val="7F4C286A"/>
    <w:rsid w:val="7F542D0C"/>
    <w:rsid w:val="7F543FA7"/>
    <w:rsid w:val="7F5D712A"/>
    <w:rsid w:val="7F69341C"/>
    <w:rsid w:val="7F762068"/>
    <w:rsid w:val="7F966C81"/>
    <w:rsid w:val="7FA21CD9"/>
    <w:rsid w:val="7FB95889"/>
    <w:rsid w:val="7FD76DDD"/>
    <w:rsid w:val="7FF75AFE"/>
    <w:rsid w:val="7FFA01D6"/>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68"/>
    <w:autoRedefine/>
    <w:qFormat/>
    <w:locked/>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50"/>
    <w:autoRedefine/>
    <w:qFormat/>
    <w:uiPriority w:val="99"/>
    <w:pPr>
      <w:jc w:val="left"/>
    </w:pPr>
  </w:style>
  <w:style w:type="paragraph" w:styleId="4">
    <w:name w:val="Balloon Text"/>
    <w:basedOn w:val="1"/>
    <w:link w:val="49"/>
    <w:autoRedefine/>
    <w:qFormat/>
    <w:uiPriority w:val="99"/>
    <w:rPr>
      <w:sz w:val="18"/>
      <w:szCs w:val="18"/>
    </w:rPr>
  </w:style>
  <w:style w:type="paragraph" w:styleId="5">
    <w:name w:val="footer"/>
    <w:basedOn w:val="1"/>
    <w:link w:val="21"/>
    <w:autoRedefine/>
    <w:qFormat/>
    <w:uiPriority w:val="99"/>
    <w:pPr>
      <w:tabs>
        <w:tab w:val="center" w:pos="4153"/>
        <w:tab w:val="right" w:pos="8306"/>
      </w:tabs>
      <w:snapToGrid w:val="0"/>
      <w:jc w:val="left"/>
    </w:pPr>
    <w:rPr>
      <w:sz w:val="18"/>
    </w:rPr>
  </w:style>
  <w:style w:type="paragraph" w:styleId="6">
    <w:name w:val="header"/>
    <w:basedOn w:val="1"/>
    <w:link w:val="22"/>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autoRedefine/>
    <w:semiHidden/>
    <w:unhideWhenUsed/>
    <w:qFormat/>
    <w:uiPriority w:val="39"/>
  </w:style>
  <w:style w:type="paragraph" w:styleId="8">
    <w:name w:val="toc 2"/>
    <w:basedOn w:val="1"/>
    <w:next w:val="1"/>
    <w:autoRedefine/>
    <w:semiHidden/>
    <w:unhideWhenUsed/>
    <w:qFormat/>
    <w:uiPriority w:val="39"/>
    <w:pPr>
      <w:ind w:left="420" w:leftChars="200"/>
    </w:p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annotation subject"/>
    <w:basedOn w:val="3"/>
    <w:next w:val="3"/>
    <w:link w:val="51"/>
    <w:autoRedefine/>
    <w:qFormat/>
    <w:uiPriority w:val="99"/>
    <w:rPr>
      <w:b/>
      <w:bCs/>
    </w:rPr>
  </w:style>
  <w:style w:type="table" w:styleId="12">
    <w:name w:val="Table Grid"/>
    <w:basedOn w:val="11"/>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autoRedefine/>
    <w:qFormat/>
    <w:uiPriority w:val="22"/>
    <w:rPr>
      <w:rFonts w:cs="Times New Roman"/>
    </w:rPr>
  </w:style>
  <w:style w:type="character" w:styleId="15">
    <w:name w:val="page number"/>
    <w:basedOn w:val="13"/>
    <w:autoRedefine/>
    <w:qFormat/>
    <w:uiPriority w:val="99"/>
    <w:rPr>
      <w:rFonts w:cs="Times New Roman"/>
    </w:rPr>
  </w:style>
  <w:style w:type="character" w:styleId="16">
    <w:name w:val="Emphasis"/>
    <w:basedOn w:val="13"/>
    <w:autoRedefine/>
    <w:qFormat/>
    <w:locked/>
    <w:uiPriority w:val="0"/>
    <w:rPr>
      <w:i/>
    </w:rPr>
  </w:style>
  <w:style w:type="character" w:styleId="17">
    <w:name w:val="line number"/>
    <w:basedOn w:val="13"/>
    <w:autoRedefine/>
    <w:qFormat/>
    <w:uiPriority w:val="99"/>
    <w:rPr>
      <w:rFonts w:cs="Times New Roman"/>
    </w:rPr>
  </w:style>
  <w:style w:type="character" w:styleId="18">
    <w:name w:val="Hyperlink"/>
    <w:basedOn w:val="13"/>
    <w:semiHidden/>
    <w:unhideWhenUsed/>
    <w:qFormat/>
    <w:uiPriority w:val="99"/>
    <w:rPr>
      <w:color w:val="0000FF"/>
      <w:u w:val="single"/>
    </w:rPr>
  </w:style>
  <w:style w:type="character" w:styleId="19">
    <w:name w:val="annotation reference"/>
    <w:basedOn w:val="13"/>
    <w:autoRedefine/>
    <w:qFormat/>
    <w:uiPriority w:val="99"/>
    <w:rPr>
      <w:rFonts w:cs="Times New Roman"/>
      <w:sz w:val="21"/>
      <w:szCs w:val="21"/>
    </w:rPr>
  </w:style>
  <w:style w:type="character" w:customStyle="1" w:styleId="20">
    <w:name w:val="发布"/>
    <w:basedOn w:val="13"/>
    <w:autoRedefine/>
    <w:qFormat/>
    <w:uiPriority w:val="99"/>
    <w:rPr>
      <w:rFonts w:ascii="黑体" w:eastAsia="黑体" w:cs="Times New Roman"/>
      <w:spacing w:val="85"/>
      <w:w w:val="100"/>
      <w:position w:val="3"/>
      <w:sz w:val="28"/>
      <w:szCs w:val="28"/>
    </w:rPr>
  </w:style>
  <w:style w:type="character" w:customStyle="1" w:styleId="21">
    <w:name w:val="页脚 Char"/>
    <w:basedOn w:val="13"/>
    <w:link w:val="5"/>
    <w:autoRedefine/>
    <w:qFormat/>
    <w:locked/>
    <w:uiPriority w:val="99"/>
    <w:rPr>
      <w:rFonts w:cs="Times New Roman"/>
      <w:kern w:val="2"/>
      <w:sz w:val="18"/>
    </w:rPr>
  </w:style>
  <w:style w:type="character" w:customStyle="1" w:styleId="22">
    <w:name w:val="页眉 Char"/>
    <w:basedOn w:val="13"/>
    <w:link w:val="6"/>
    <w:autoRedefine/>
    <w:semiHidden/>
    <w:qFormat/>
    <w:uiPriority w:val="99"/>
    <w:rPr>
      <w:sz w:val="18"/>
      <w:szCs w:val="18"/>
    </w:rPr>
  </w:style>
  <w:style w:type="paragraph" w:customStyle="1" w:styleId="23">
    <w:name w:val="封面标准英文名称"/>
    <w:basedOn w:val="24"/>
    <w:autoRedefine/>
    <w:qFormat/>
    <w:uiPriority w:val="0"/>
    <w:pPr>
      <w:spacing w:before="370" w:line="400" w:lineRule="exact"/>
    </w:pPr>
    <w:rPr>
      <w:rFonts w:ascii="Times New Roman"/>
      <w:sz w:val="28"/>
      <w:szCs w:val="28"/>
    </w:rPr>
  </w:style>
  <w:style w:type="paragraph" w:customStyle="1" w:styleId="24">
    <w:name w:val="封面标准名称"/>
    <w:autoRedefine/>
    <w:qFormat/>
    <w:uiPriority w:val="99"/>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5">
    <w:name w:val="封面标准代替信息"/>
    <w:autoRedefine/>
    <w:qFormat/>
    <w:uiPriority w:val="99"/>
    <w:pPr>
      <w:spacing w:before="57" w:line="280" w:lineRule="exact"/>
      <w:jc w:val="right"/>
    </w:pPr>
    <w:rPr>
      <w:rFonts w:ascii="宋体" w:hAnsi="Times New Roman" w:eastAsia="宋体" w:cs="Times New Roman"/>
      <w:sz w:val="21"/>
      <w:szCs w:val="21"/>
      <w:lang w:val="en-US" w:eastAsia="zh-CN" w:bidi="ar-SA"/>
    </w:rPr>
  </w:style>
  <w:style w:type="paragraph" w:customStyle="1" w:styleId="26">
    <w:name w:val="封面标准号2"/>
    <w:autoRedefine/>
    <w:qFormat/>
    <w:uiPriority w:val="99"/>
    <w:pPr>
      <w:spacing w:before="357" w:line="280" w:lineRule="exact"/>
      <w:jc w:val="right"/>
    </w:pPr>
    <w:rPr>
      <w:rFonts w:ascii="黑体" w:hAnsi="Times New Roman" w:eastAsia="黑体" w:cs="Times New Roman"/>
      <w:sz w:val="28"/>
      <w:szCs w:val="28"/>
      <w:lang w:val="en-US" w:eastAsia="zh-CN" w:bidi="ar-SA"/>
    </w:rPr>
  </w:style>
  <w:style w:type="paragraph" w:customStyle="1" w:styleId="27">
    <w:name w:val="段"/>
    <w:link w:val="47"/>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28">
    <w:name w:val="封面标准文稿编辑信息"/>
    <w:basedOn w:val="29"/>
    <w:autoRedefine/>
    <w:qFormat/>
    <w:uiPriority w:val="99"/>
    <w:pPr>
      <w:spacing w:before="180" w:line="180" w:lineRule="exact"/>
    </w:pPr>
    <w:rPr>
      <w:sz w:val="21"/>
    </w:rPr>
  </w:style>
  <w:style w:type="paragraph" w:customStyle="1" w:styleId="29">
    <w:name w:val="封面标准文稿类别"/>
    <w:basedOn w:val="30"/>
    <w:autoRedefine/>
    <w:qFormat/>
    <w:uiPriority w:val="99"/>
    <w:pPr>
      <w:spacing w:after="160" w:line="240" w:lineRule="auto"/>
    </w:pPr>
    <w:rPr>
      <w:sz w:val="24"/>
    </w:rPr>
  </w:style>
  <w:style w:type="paragraph" w:customStyle="1" w:styleId="30">
    <w:name w:val="封面一致性程度标识"/>
    <w:basedOn w:val="23"/>
    <w:autoRedefine/>
    <w:qFormat/>
    <w:uiPriority w:val="99"/>
    <w:pPr>
      <w:spacing w:before="440"/>
    </w:pPr>
    <w:rPr>
      <w:rFonts w:ascii="宋体" w:eastAsia="宋体"/>
    </w:rPr>
  </w:style>
  <w:style w:type="paragraph" w:customStyle="1" w:styleId="31">
    <w:name w:val="其他发布部门"/>
    <w:basedOn w:val="1"/>
    <w:autoRedefine/>
    <w:qFormat/>
    <w:uiPriority w:val="99"/>
    <w:pPr>
      <w:widowControl/>
      <w:spacing w:line="240" w:lineRule="atLeast"/>
      <w:jc w:val="center"/>
    </w:pPr>
    <w:rPr>
      <w:rFonts w:ascii="黑体" w:eastAsia="黑体"/>
      <w:spacing w:val="20"/>
      <w:w w:val="135"/>
      <w:kern w:val="0"/>
      <w:sz w:val="28"/>
    </w:rPr>
  </w:style>
  <w:style w:type="paragraph" w:customStyle="1" w:styleId="32">
    <w:name w:val="其他实施日期"/>
    <w:basedOn w:val="1"/>
    <w:autoRedefine/>
    <w:qFormat/>
    <w:uiPriority w:val="99"/>
    <w:pPr>
      <w:widowControl/>
      <w:jc w:val="right"/>
    </w:pPr>
    <w:rPr>
      <w:rFonts w:eastAsia="黑体"/>
      <w:kern w:val="0"/>
      <w:sz w:val="28"/>
    </w:rPr>
  </w:style>
  <w:style w:type="paragraph" w:customStyle="1" w:styleId="33">
    <w:name w:val="其他标准标志"/>
    <w:basedOn w:val="1"/>
    <w:autoRedefine/>
    <w:qFormat/>
    <w:uiPriority w:val="99"/>
    <w:pPr>
      <w:widowControl/>
      <w:shd w:val="solid" w:color="FFFFFF" w:fill="FFFFFF"/>
      <w:spacing w:line="240" w:lineRule="atLeast"/>
      <w:jc w:val="right"/>
    </w:pPr>
    <w:rPr>
      <w:b/>
      <w:w w:val="130"/>
      <w:kern w:val="0"/>
      <w:sz w:val="96"/>
      <w:szCs w:val="96"/>
    </w:rPr>
  </w:style>
  <w:style w:type="paragraph" w:customStyle="1" w:styleId="34">
    <w:name w:val="其他发布日期"/>
    <w:basedOn w:val="1"/>
    <w:autoRedefine/>
    <w:qFormat/>
    <w:uiPriority w:val="99"/>
    <w:pPr>
      <w:widowControl/>
      <w:jc w:val="left"/>
    </w:pPr>
    <w:rPr>
      <w:rFonts w:eastAsia="黑体"/>
      <w:kern w:val="0"/>
      <w:sz w:val="28"/>
    </w:rPr>
  </w:style>
  <w:style w:type="paragraph" w:customStyle="1" w:styleId="35">
    <w:name w:val="其他标准称谓"/>
    <w:next w:val="1"/>
    <w:autoRedefine/>
    <w:qFormat/>
    <w:uiPriority w:val="99"/>
    <w:pPr>
      <w:spacing w:line="240" w:lineRule="atLeast"/>
      <w:jc w:val="distribute"/>
    </w:pPr>
    <w:rPr>
      <w:rFonts w:ascii="黑体" w:hAnsi="宋体" w:eastAsia="黑体" w:cs="Times New Roman"/>
      <w:spacing w:val="-40"/>
      <w:sz w:val="48"/>
      <w:szCs w:val="52"/>
      <w:lang w:val="en-US" w:eastAsia="zh-CN" w:bidi="ar-SA"/>
    </w:rPr>
  </w:style>
  <w:style w:type="paragraph" w:customStyle="1" w:styleId="36">
    <w:name w:val="一级条标题"/>
    <w:next w:val="27"/>
    <w:link w:val="53"/>
    <w:autoRedefine/>
    <w:qFormat/>
    <w:uiPriority w:val="0"/>
    <w:pPr>
      <w:numPr>
        <w:ilvl w:val="1"/>
        <w:numId w:val="1"/>
      </w:numPr>
      <w:spacing w:beforeLines="50" w:afterLines="50"/>
      <w:outlineLvl w:val="2"/>
    </w:pPr>
    <w:rPr>
      <w:rFonts w:ascii="黑体" w:hAnsi="Times New Roman" w:eastAsia="黑体" w:cs="Times New Roman"/>
      <w:sz w:val="21"/>
      <w:szCs w:val="22"/>
      <w:lang w:val="en-US" w:eastAsia="zh-CN" w:bidi="ar-SA"/>
    </w:rPr>
  </w:style>
  <w:style w:type="paragraph" w:customStyle="1" w:styleId="37">
    <w:name w:val="标准书脚_奇数页"/>
    <w:autoRedefine/>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38">
    <w:name w:val="标准书眉_奇数页"/>
    <w:next w:val="1"/>
    <w:autoRedefine/>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9">
    <w:name w:val="章标题"/>
    <w:next w:val="27"/>
    <w:link w:val="44"/>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0">
    <w:name w:val="二级条标题"/>
    <w:basedOn w:val="36"/>
    <w:next w:val="27"/>
    <w:link w:val="56"/>
    <w:autoRedefine/>
    <w:qFormat/>
    <w:uiPriority w:val="0"/>
    <w:pPr>
      <w:numPr>
        <w:ilvl w:val="2"/>
      </w:numPr>
      <w:spacing w:before="50" w:after="50"/>
      <w:outlineLvl w:val="3"/>
    </w:pPr>
  </w:style>
  <w:style w:type="paragraph" w:customStyle="1" w:styleId="41">
    <w:name w:val="三级条标题"/>
    <w:basedOn w:val="40"/>
    <w:next w:val="27"/>
    <w:autoRedefine/>
    <w:qFormat/>
    <w:uiPriority w:val="0"/>
    <w:pPr>
      <w:numPr>
        <w:ilvl w:val="3"/>
      </w:numPr>
      <w:outlineLvl w:val="4"/>
    </w:pPr>
  </w:style>
  <w:style w:type="paragraph" w:customStyle="1" w:styleId="42">
    <w:name w:val="四级条标题"/>
    <w:basedOn w:val="41"/>
    <w:next w:val="27"/>
    <w:autoRedefine/>
    <w:qFormat/>
    <w:uiPriority w:val="0"/>
    <w:pPr>
      <w:numPr>
        <w:ilvl w:val="4"/>
      </w:numPr>
      <w:outlineLvl w:val="5"/>
    </w:pPr>
  </w:style>
  <w:style w:type="paragraph" w:customStyle="1" w:styleId="43">
    <w:name w:val="五级条标题"/>
    <w:basedOn w:val="42"/>
    <w:next w:val="27"/>
    <w:autoRedefine/>
    <w:qFormat/>
    <w:uiPriority w:val="0"/>
    <w:pPr>
      <w:numPr>
        <w:ilvl w:val="5"/>
      </w:numPr>
      <w:outlineLvl w:val="6"/>
    </w:pPr>
  </w:style>
  <w:style w:type="character" w:customStyle="1" w:styleId="44">
    <w:name w:val="章标题 Char"/>
    <w:basedOn w:val="13"/>
    <w:link w:val="39"/>
    <w:autoRedefine/>
    <w:qFormat/>
    <w:locked/>
    <w:uiPriority w:val="0"/>
    <w:rPr>
      <w:rFonts w:ascii="黑体" w:eastAsia="黑体"/>
      <w:sz w:val="21"/>
      <w:lang w:val="en-US" w:eastAsia="zh-CN" w:bidi="ar-SA"/>
    </w:rPr>
  </w:style>
  <w:style w:type="paragraph" w:customStyle="1" w:styleId="45">
    <w:name w:val="Default"/>
    <w:autoRedefine/>
    <w:qFormat/>
    <w:uiPriority w:val="99"/>
    <w:pPr>
      <w:widowControl w:val="0"/>
      <w:autoSpaceDE w:val="0"/>
      <w:autoSpaceDN w:val="0"/>
      <w:adjustRightInd w:val="0"/>
    </w:pPr>
    <w:rPr>
      <w:rFonts w:ascii="DFKai-SB" w:hAnsi="Times New Roman" w:eastAsia="DFKai-SB" w:cs="DFKai-SB"/>
      <w:color w:val="000000"/>
      <w:sz w:val="24"/>
      <w:szCs w:val="24"/>
      <w:lang w:val="en-US" w:eastAsia="zh-CN" w:bidi="ar-SA"/>
    </w:rPr>
  </w:style>
  <w:style w:type="paragraph" w:customStyle="1" w:styleId="46">
    <w:name w:val="前言、引言标题"/>
    <w:next w:val="1"/>
    <w:autoRedefine/>
    <w:qFormat/>
    <w:uiPriority w:val="99"/>
    <w:pPr>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47">
    <w:name w:val="段 Char"/>
    <w:link w:val="27"/>
    <w:autoRedefine/>
    <w:qFormat/>
    <w:locked/>
    <w:uiPriority w:val="0"/>
    <w:rPr>
      <w:rFonts w:ascii="宋体"/>
      <w:sz w:val="21"/>
      <w:szCs w:val="22"/>
      <w:lang w:val="en-US" w:eastAsia="zh-CN" w:bidi="ar-SA"/>
    </w:rPr>
  </w:style>
  <w:style w:type="paragraph" w:customStyle="1" w:styleId="48">
    <w:name w:val="终结线"/>
    <w:basedOn w:val="1"/>
    <w:autoRedefine/>
    <w:qFormat/>
    <w:uiPriority w:val="99"/>
    <w:pPr>
      <w:framePr w:hSpace="181" w:vSpace="181" w:wrap="around" w:vAnchor="text" w:hAnchor="margin" w:xAlign="center" w:y="285"/>
    </w:pPr>
    <w:rPr>
      <w:szCs w:val="24"/>
    </w:rPr>
  </w:style>
  <w:style w:type="character" w:customStyle="1" w:styleId="49">
    <w:name w:val="批注框文本 Char"/>
    <w:basedOn w:val="13"/>
    <w:link w:val="4"/>
    <w:autoRedefine/>
    <w:qFormat/>
    <w:locked/>
    <w:uiPriority w:val="99"/>
    <w:rPr>
      <w:rFonts w:cs="Times New Roman"/>
      <w:kern w:val="2"/>
      <w:sz w:val="18"/>
      <w:szCs w:val="18"/>
    </w:rPr>
  </w:style>
  <w:style w:type="character" w:customStyle="1" w:styleId="50">
    <w:name w:val="批注文字 Char"/>
    <w:basedOn w:val="13"/>
    <w:link w:val="3"/>
    <w:autoRedefine/>
    <w:qFormat/>
    <w:locked/>
    <w:uiPriority w:val="99"/>
    <w:rPr>
      <w:rFonts w:cs="Times New Roman"/>
      <w:kern w:val="2"/>
      <w:sz w:val="21"/>
    </w:rPr>
  </w:style>
  <w:style w:type="character" w:customStyle="1" w:styleId="51">
    <w:name w:val="批注主题 Char"/>
    <w:basedOn w:val="50"/>
    <w:link w:val="10"/>
    <w:autoRedefine/>
    <w:qFormat/>
    <w:locked/>
    <w:uiPriority w:val="99"/>
    <w:rPr>
      <w:b/>
      <w:bCs/>
    </w:rPr>
  </w:style>
  <w:style w:type="paragraph" w:customStyle="1" w:styleId="52">
    <w:name w:val="目次、标准名称标题"/>
    <w:basedOn w:val="1"/>
    <w:next w:val="27"/>
    <w:autoRedefine/>
    <w:qFormat/>
    <w:uiPriority w:val="99"/>
    <w:pPr>
      <w:keepNext/>
      <w:pageBreakBefore/>
      <w:widowControl/>
      <w:shd w:val="clear" w:color="FFFFFF" w:fill="FFFFFF"/>
      <w:spacing w:before="640" w:after="560" w:line="460" w:lineRule="exact"/>
      <w:jc w:val="center"/>
      <w:outlineLvl w:val="0"/>
    </w:pPr>
    <w:rPr>
      <w:rFonts w:ascii="黑体" w:eastAsia="黑体"/>
      <w:kern w:val="0"/>
      <w:sz w:val="32"/>
    </w:rPr>
  </w:style>
  <w:style w:type="character" w:customStyle="1" w:styleId="53">
    <w:name w:val="一级条标题 Char"/>
    <w:link w:val="36"/>
    <w:autoRedefine/>
    <w:qFormat/>
    <w:locked/>
    <w:uiPriority w:val="0"/>
    <w:rPr>
      <w:rFonts w:ascii="黑体" w:eastAsia="黑体"/>
      <w:sz w:val="21"/>
      <w:szCs w:val="22"/>
      <w:lang w:bidi="ar-SA"/>
    </w:rPr>
  </w:style>
  <w:style w:type="paragraph" w:customStyle="1" w:styleId="54">
    <w:name w:val="一级无"/>
    <w:basedOn w:val="36"/>
    <w:autoRedefine/>
    <w:qFormat/>
    <w:uiPriority w:val="0"/>
    <w:pPr>
      <w:numPr>
        <w:ilvl w:val="0"/>
        <w:numId w:val="0"/>
      </w:numPr>
      <w:spacing w:beforeLines="0" w:afterLines="0"/>
      <w:ind w:left="1134"/>
    </w:pPr>
    <w:rPr>
      <w:rFonts w:ascii="宋体" w:eastAsia="宋体"/>
    </w:rPr>
  </w:style>
  <w:style w:type="paragraph" w:customStyle="1" w:styleId="55">
    <w:name w:val="二级无"/>
    <w:basedOn w:val="40"/>
    <w:autoRedefine/>
    <w:qFormat/>
    <w:uiPriority w:val="99"/>
    <w:pPr>
      <w:numPr>
        <w:ilvl w:val="0"/>
        <w:numId w:val="0"/>
      </w:numPr>
      <w:spacing w:beforeLines="0" w:afterLines="0"/>
    </w:pPr>
    <w:rPr>
      <w:rFonts w:ascii="宋体" w:eastAsia="宋体"/>
    </w:rPr>
  </w:style>
  <w:style w:type="character" w:customStyle="1" w:styleId="56">
    <w:name w:val="二级条标题 Char"/>
    <w:basedOn w:val="53"/>
    <w:link w:val="40"/>
    <w:autoRedefine/>
    <w:qFormat/>
    <w:locked/>
    <w:uiPriority w:val="0"/>
  </w:style>
  <w:style w:type="character" w:customStyle="1" w:styleId="57">
    <w:name w:val="ordinary-span-edit2"/>
    <w:basedOn w:val="13"/>
    <w:autoRedefine/>
    <w:qFormat/>
    <w:uiPriority w:val="99"/>
    <w:rPr>
      <w:rFonts w:cs="Times New Roman"/>
    </w:rPr>
  </w:style>
  <w:style w:type="paragraph" w:customStyle="1" w:styleId="58">
    <w:name w:val="列项——（一级）"/>
    <w:autoRedefine/>
    <w:qFormat/>
    <w:uiPriority w:val="0"/>
    <w:pPr>
      <w:widowControl w:val="0"/>
      <w:numPr>
        <w:ilvl w:val="0"/>
        <w:numId w:val="2"/>
      </w:numPr>
      <w:jc w:val="both"/>
    </w:pPr>
    <w:rPr>
      <w:rFonts w:ascii="宋体" w:hAnsi="Times New Roman" w:eastAsia="宋体" w:cs="Times New Roman"/>
      <w:sz w:val="21"/>
      <w:lang w:val="en-US" w:eastAsia="zh-CN" w:bidi="ar-SA"/>
    </w:rPr>
  </w:style>
  <w:style w:type="paragraph" w:customStyle="1" w:styleId="59">
    <w:name w:val="列项●（二级）"/>
    <w:autoRedefine/>
    <w:qFormat/>
    <w:uiPriority w:val="0"/>
    <w:pPr>
      <w:numPr>
        <w:ilvl w:val="1"/>
        <w:numId w:val="2"/>
      </w:numPr>
      <w:tabs>
        <w:tab w:val="left" w:pos="840"/>
      </w:tabs>
      <w:jc w:val="both"/>
    </w:pPr>
    <w:rPr>
      <w:rFonts w:ascii="宋体" w:hAnsi="Times New Roman" w:eastAsia="宋体" w:cs="Times New Roman"/>
      <w:sz w:val="21"/>
      <w:lang w:val="en-US" w:eastAsia="zh-CN" w:bidi="ar-SA"/>
    </w:rPr>
  </w:style>
  <w:style w:type="paragraph" w:customStyle="1" w:styleId="60">
    <w:name w:val="列项◆（三级）"/>
    <w:basedOn w:val="1"/>
    <w:autoRedefine/>
    <w:qFormat/>
    <w:uiPriority w:val="0"/>
    <w:pPr>
      <w:numPr>
        <w:ilvl w:val="2"/>
        <w:numId w:val="2"/>
      </w:numPr>
    </w:pPr>
    <w:rPr>
      <w:rFonts w:ascii="宋体"/>
      <w:szCs w:val="21"/>
    </w:rPr>
  </w:style>
  <w:style w:type="paragraph" w:customStyle="1" w:styleId="61">
    <w:name w:val="注×："/>
    <w:autoRedefine/>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2">
    <w:name w:val="数字编号列项（二级）"/>
    <w:autoRedefine/>
    <w:qFormat/>
    <w:uiPriority w:val="0"/>
    <w:pPr>
      <w:numPr>
        <w:ilvl w:val="1"/>
        <w:numId w:val="3"/>
      </w:numPr>
      <w:jc w:val="both"/>
    </w:pPr>
    <w:rPr>
      <w:rFonts w:ascii="宋体" w:hAnsi="Times New Roman" w:eastAsia="宋体" w:cs="Times New Roman"/>
      <w:sz w:val="21"/>
      <w:lang w:val="en-US" w:eastAsia="zh-CN" w:bidi="ar-SA"/>
    </w:rPr>
  </w:style>
  <w:style w:type="paragraph" w:customStyle="1" w:styleId="63">
    <w:name w:val="字母编号列项（一级）"/>
    <w:autoRedefine/>
    <w:qFormat/>
    <w:uiPriority w:val="0"/>
    <w:pPr>
      <w:numPr>
        <w:ilvl w:val="0"/>
        <w:numId w:val="3"/>
      </w:numPr>
      <w:jc w:val="both"/>
    </w:pPr>
    <w:rPr>
      <w:rFonts w:ascii="宋体" w:hAnsi="Times New Roman" w:eastAsia="宋体" w:cs="Times New Roman"/>
      <w:sz w:val="21"/>
      <w:lang w:val="en-US" w:eastAsia="zh-CN" w:bidi="ar-SA"/>
    </w:rPr>
  </w:style>
  <w:style w:type="paragraph" w:customStyle="1" w:styleId="64">
    <w:name w:val="编号列项（三级）"/>
    <w:autoRedefine/>
    <w:qFormat/>
    <w:uiPriority w:val="0"/>
    <w:pPr>
      <w:numPr>
        <w:ilvl w:val="2"/>
        <w:numId w:val="3"/>
      </w:numPr>
    </w:pPr>
    <w:rPr>
      <w:rFonts w:ascii="宋体" w:hAnsi="Times New Roman" w:eastAsia="宋体" w:cs="Times New Roman"/>
      <w:sz w:val="21"/>
      <w:lang w:val="en-US" w:eastAsia="zh-CN" w:bidi="ar-SA"/>
    </w:rPr>
  </w:style>
  <w:style w:type="paragraph" w:customStyle="1" w:styleId="65">
    <w:name w:val="4.1"/>
    <w:basedOn w:val="36"/>
    <w:link w:val="66"/>
    <w:autoRedefine/>
    <w:qFormat/>
    <w:uiPriority w:val="0"/>
    <w:pPr>
      <w:numPr>
        <w:ilvl w:val="0"/>
        <w:numId w:val="0"/>
      </w:numPr>
      <w:tabs>
        <w:tab w:val="left" w:pos="363"/>
      </w:tabs>
      <w:spacing w:before="156" w:after="156"/>
      <w:ind w:firstLine="363"/>
    </w:pPr>
    <w:rPr>
      <w:szCs w:val="21"/>
    </w:rPr>
  </w:style>
  <w:style w:type="character" w:customStyle="1" w:styleId="66">
    <w:name w:val="4.1 Char"/>
    <w:basedOn w:val="53"/>
    <w:link w:val="65"/>
    <w:autoRedefine/>
    <w:qFormat/>
    <w:uiPriority w:val="0"/>
    <w:rPr>
      <w:szCs w:val="21"/>
    </w:rPr>
  </w:style>
  <w:style w:type="paragraph" w:customStyle="1" w:styleId="67">
    <w:name w:val="正文表标题"/>
    <w:next w:val="27"/>
    <w:autoRedefine/>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68">
    <w:name w:val="标题 3 Char"/>
    <w:basedOn w:val="13"/>
    <w:link w:val="2"/>
    <w:autoRedefine/>
    <w:qFormat/>
    <w:uiPriority w:val="9"/>
    <w:rPr>
      <w:rFonts w:ascii="宋体" w:hAnsi="宋体" w:cs="宋体"/>
      <w:b/>
      <w:bCs/>
      <w:sz w:val="27"/>
      <w:szCs w:val="27"/>
    </w:rPr>
  </w:style>
  <w:style w:type="character" w:customStyle="1" w:styleId="69">
    <w:name w:val="font11"/>
    <w:basedOn w:val="13"/>
    <w:autoRedefine/>
    <w:qFormat/>
    <w:uiPriority w:val="0"/>
    <w:rPr>
      <w:rFonts w:hint="eastAsia" w:ascii="楷体" w:hAnsi="楷体" w:eastAsia="楷体" w:cs="楷体"/>
      <w:b/>
      <w:bCs/>
      <w:color w:val="000000"/>
      <w:sz w:val="21"/>
      <w:szCs w:val="21"/>
      <w:u w:val="none"/>
    </w:rPr>
  </w:style>
  <w:style w:type="character" w:customStyle="1" w:styleId="70">
    <w:name w:val="font51"/>
    <w:basedOn w:val="13"/>
    <w:autoRedefine/>
    <w:qFormat/>
    <w:uiPriority w:val="0"/>
    <w:rPr>
      <w:rFonts w:hint="default" w:ascii="Times New Roman" w:hAnsi="Times New Roman" w:cs="Times New Roman"/>
      <w:b/>
      <w:bCs/>
      <w:color w:val="000000"/>
      <w:sz w:val="21"/>
      <w:szCs w:val="21"/>
      <w:u w:val="none"/>
    </w:rPr>
  </w:style>
  <w:style w:type="character" w:customStyle="1" w:styleId="71">
    <w:name w:val="font21"/>
    <w:basedOn w:val="13"/>
    <w:autoRedefine/>
    <w:qFormat/>
    <w:uiPriority w:val="0"/>
    <w:rPr>
      <w:rFonts w:hint="eastAsia" w:ascii="楷体" w:hAnsi="楷体" w:eastAsia="楷体" w:cs="楷体"/>
      <w:color w:val="000000"/>
      <w:sz w:val="21"/>
      <w:szCs w:val="21"/>
      <w:u w:val="none"/>
    </w:rPr>
  </w:style>
  <w:style w:type="character" w:customStyle="1" w:styleId="72">
    <w:name w:val="font41"/>
    <w:basedOn w:val="13"/>
    <w:autoRedefine/>
    <w:qFormat/>
    <w:uiPriority w:val="0"/>
    <w:rPr>
      <w:rFonts w:hint="default" w:ascii="Times New Roman" w:hAnsi="Times New Roman" w:cs="Times New Roman"/>
      <w:color w:val="000000"/>
      <w:sz w:val="24"/>
      <w:szCs w:val="24"/>
      <w:u w:val="none"/>
    </w:rPr>
  </w:style>
  <w:style w:type="character" w:customStyle="1" w:styleId="73">
    <w:name w:val="font31"/>
    <w:basedOn w:val="13"/>
    <w:autoRedefine/>
    <w:qFormat/>
    <w:uiPriority w:val="0"/>
    <w:rPr>
      <w:rFonts w:hint="eastAsia" w:ascii="楷体" w:hAnsi="楷体" w:eastAsia="楷体" w:cs="楷体"/>
      <w:color w:val="000000"/>
      <w:sz w:val="21"/>
      <w:szCs w:val="21"/>
      <w:u w:val="none"/>
    </w:rPr>
  </w:style>
  <w:style w:type="paragraph" w:customStyle="1" w:styleId="74">
    <w:name w:val="Table Text"/>
    <w:basedOn w:val="1"/>
    <w:autoRedefine/>
    <w:semiHidden/>
    <w:qFormat/>
    <w:uiPriority w:val="0"/>
    <w:rPr>
      <w:rFonts w:ascii="微软雅黑" w:hAnsi="微软雅黑" w:eastAsia="微软雅黑" w:cs="微软雅黑"/>
      <w:sz w:val="15"/>
      <w:szCs w:val="15"/>
      <w:lang w:val="en-US" w:eastAsia="en-US" w:bidi="ar-SA"/>
    </w:rPr>
  </w:style>
  <w:style w:type="table" w:customStyle="1" w:styleId="75">
    <w:name w:val="Table Normal"/>
    <w:autoRedefine/>
    <w:semiHidden/>
    <w:unhideWhenUsed/>
    <w:qFormat/>
    <w:uiPriority w:val="0"/>
    <w:tblPr>
      <w:tblCellMar>
        <w:top w:w="0" w:type="dxa"/>
        <w:left w:w="0" w:type="dxa"/>
        <w:bottom w:w="0" w:type="dxa"/>
        <w:right w:w="0" w:type="dxa"/>
      </w:tblCellMar>
    </w:tblPr>
  </w:style>
  <w:style w:type="paragraph" w:customStyle="1" w:styleId="76">
    <w:name w:val="WPSOffice手动目录 1"/>
    <w:autoRedefine/>
    <w:qFormat/>
    <w:uiPriority w:val="0"/>
    <w:pPr>
      <w:ind w:leftChars="0"/>
    </w:pPr>
    <w:rPr>
      <w:rFonts w:ascii="Times New Roman" w:hAnsi="Times New Roman" w:eastAsia="宋体" w:cs="Times New Roman"/>
      <w:sz w:val="20"/>
      <w:szCs w:val="20"/>
    </w:rPr>
  </w:style>
  <w:style w:type="paragraph" w:customStyle="1" w:styleId="77">
    <w:name w:val="条1"/>
    <w:basedOn w:val="1"/>
    <w:next w:val="27"/>
    <w:autoRedefine/>
    <w:qFormat/>
    <w:uiPriority w:val="0"/>
    <w:pPr>
      <w:numPr>
        <w:ilvl w:val="1"/>
        <w:numId w:val="5"/>
      </w:numPr>
      <w:outlineLvl w:val="1"/>
    </w:pPr>
    <w:rPr>
      <w:rFonts w:ascii="黑体" w:eastAsia="黑体"/>
      <w:kern w:val="21"/>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e24ba263-e794-4cfd-9cae-b07126d85c37</errorID>
      <errorWord>1</errorWord>
      <group>L1_Word</group>
      <groupName>字词问题</groupName>
      <ability>L2_Typo</ability>
      <abilityName>字词错误</abilityName>
      <candidateList>
        <item> 1</item>
      </candidateList>
      <explain/>
      <paraID> 983E17F</paraID>
      <start>1</start>
      <end>3</end>
      <status>modified</status>
      <modifiedWord> 1</modifiedWord>
      <trackRevisions>false</trackRevisions>
    </reviewItem>
    <reviewItem>
      <errorID>e5ac7ab0-0940-4207-8ef2-5d75841adfe6</errorID>
      <errorWord>2</errorWord>
      <group>L1_Word</group>
      <groupName>字词问题</groupName>
      <ability>L2_Typo</ability>
      <abilityName>字词错误</abilityName>
      <candidateList>
        <item> 2</item>
      </candidateList>
      <explain/>
      <paraID>1E45CB28</paraID>
      <start>1</start>
      <end>3</end>
      <status>modified</status>
      <modifiedWord> 2</modifiedWord>
      <trackRevisions>false</trackRevisions>
    </reviewItem>
    <reviewItem>
      <errorID>d2fff4b8-71ba-49c2-bfea-6fb651167a9c</errorID>
      <errorWord> </errorWord>
      <group>L1_Punc</group>
      <groupName>标点问题</groupName>
      <ability>L2_Punc_CN</ability>
      <abilityName>标点符号问题</abilityName>
      <candidateList>
        <item>_</item>
      </candidateList>
      <explain/>
      <paraID>210A45E8</paraID>
      <start>32</start>
      <end>33</end>
      <status>unmodified</status>
      <modifiedWord/>
      <trackRevisions>false</trackRevisions>
    </reviewItem>
    <reviewItem>
      <errorID>5435e461-83a9-4c40-a4cc-51f5a81241ad</errorID>
      <errorWord> </errorWord>
      <group>L1_Punc</group>
      <groupName>标点问题</groupName>
      <ability>L2_Punc_CN</ability>
      <abilityName>标点符号问题</abilityName>
      <candidateList>
        <item/>
      </candidateList>
      <explain>此处空格冗余，建议删除。</explain>
      <paraID>210A45E8</paraID>
      <start>34</start>
      <end>35</end>
      <status>unmodified</status>
      <modifiedWord/>
      <trackRevisions>false</trackRevisions>
    </reviewItem>
    <reviewItem>
      <errorID>532d7c21-572a-4361-afde-2ce6058ba2db</errorID>
      <errorWord>（</errorWord>
      <group>L1_Format</group>
      <groupName>格式问题</groupName>
      <ability>L2_HalfPunc_CN</ability>
      <abilityName>全半角问题</abilityName>
      <candidateList>
        <item>(</item>
      </candidateList>
      <explain>文本全半角错误。</explain>
      <paraID>210A45E8</paraID>
      <start>38</start>
      <end>39</end>
      <status>unmodified</status>
      <modifiedWord/>
      <trackRevisions>false</trackRevisions>
    </reviewItem>
    <reviewItem>
      <errorID>92d52787-bc01-4510-93ce-cd33f0a41d88</errorID>
      <errorWord>）</errorWord>
      <group>L1_Format</group>
      <groupName>格式问题</groupName>
      <ability>L2_HalfPunc_CN</ability>
      <abilityName>全半角问题</abilityName>
      <candidateList>
        <item>)</item>
      </candidateList>
      <explain>文本全半角错误。</explain>
      <paraID>210A45E8</paraID>
      <start>40</start>
      <end>41</end>
      <status>unmodified</status>
      <modifiedWord/>
      <trackRevisions>false</trackRevisions>
    </reviewItem>
    <reviewItem>
      <errorID>3bf5e896-8e34-4b2f-a9c9-030a0fdbc07c</errorID>
      <errorWord>（</errorWord>
      <group>L1_Format</group>
      <groupName>格式问题</groupName>
      <ability>L2_HalfPunc_CN</ability>
      <abilityName>全半角问题</abilityName>
      <candidateList>
        <item>(</item>
      </candidateList>
      <explain>文本全半角错误。</explain>
      <paraID>39917240</paraID>
      <start>9</start>
      <end>10</end>
      <status>unmodified</status>
      <modifiedWord/>
      <trackRevisions>false</trackRevisions>
    </reviewItem>
    <reviewItem>
      <errorID>80c3ea13-6807-46b1-bfbb-3541887703e8</errorID>
      <errorWord>）</errorWord>
      <group>L1_Format</group>
      <groupName>格式问题</groupName>
      <ability>L2_HalfPunc_CN</ability>
      <abilityName>全半角问题</abilityName>
      <candidateList>
        <item>)</item>
      </candidateList>
      <explain>文本全半角错误。</explain>
      <paraID>39917240</paraID>
      <start>11</start>
      <end>12</end>
      <status>unmodified</status>
      <modifiedWord/>
      <trackRevisions>false</trackRevisions>
    </reviewItem>
    <reviewItem>
      <errorID>0f9d22c8-af4d-4822-9493-cd17d2be3999</errorID>
      <errorWord>（</errorWord>
      <group>L1_Format</group>
      <groupName>格式问题</groupName>
      <ability>L2_HalfPunc_CN</ability>
      <abilityName>全半角问题</abilityName>
      <candidateList>
        <item>(</item>
      </candidateList>
      <explain>文本全半角错误。</explain>
      <paraID>6B384750</paraID>
      <start>23</start>
      <end>24</end>
      <status>unmodified</status>
      <modifiedWord/>
      <trackRevisions>false</trackRevisions>
    </reviewItem>
    <reviewItem>
      <errorID>cf99ba25-9300-4281-9b05-c2d2fd933a91</errorID>
      <errorWord>）</errorWord>
      <group>L1_Format</group>
      <groupName>格式问题</groupName>
      <ability>L2_HalfPunc_CN</ability>
      <abilityName>全半角问题</abilityName>
      <candidateList>
        <item>)</item>
      </candidateList>
      <explain>文本全半角错误。</explain>
      <paraID>6B384750</paraID>
      <start>25</start>
      <end>26</end>
      <status>unmodified</status>
      <modifiedWord/>
      <trackRevisions>false</trackRevisions>
    </reviewItem>
    <reviewItem>
      <errorID>2adcf819-c628-437f-8d28-aa240f32ba22</errorID>
      <errorWord>（</errorWord>
      <group>L1_Format</group>
      <groupName>格式问题</groupName>
      <ability>L2_HalfPunc_CN</ability>
      <abilityName>全半角问题</abilityName>
      <candidateList>
        <item>(</item>
      </candidateList>
      <explain>文本全半角错误。</explain>
      <paraID>46DCB09B</paraID>
      <start>30</start>
      <end>31</end>
      <status>unmodified</status>
      <modifiedWord/>
      <trackRevisions>false</trackRevisions>
    </reviewItem>
    <reviewItem>
      <errorID>b2dc1c47-397d-42de-bc59-ce6cde715ec8</errorID>
      <errorWord>）</errorWord>
      <group>L1_Format</group>
      <groupName>格式问题</groupName>
      <ability>L2_HalfPunc_CN</ability>
      <abilityName>全半角问题</abilityName>
      <candidateList>
        <item>)</item>
      </candidateList>
      <explain>文本全半角错误。</explain>
      <paraID>46DCB09B</paraID>
      <start>32</start>
      <end>33</end>
      <status>unmodified</status>
      <modifiedWord/>
      <trackRevisions>false</trackRevisions>
    </reviewItem>
    <reviewItem>
      <errorID>8878be01-c951-476e-9bf0-a70688ed3d43</errorID>
      <errorWord> </errorWord>
      <group>L1_Punc</group>
      <groupName>标点问题</groupName>
      <ability>L2_Punc_CN</ability>
      <abilityName>标点符号问题</abilityName>
      <candidateList>
        <item>/</item>
      </candidateList>
      <explain/>
      <paraID>7BC9F8E7</paraID>
      <start>22</start>
      <end>23</end>
      <status>unmodified</status>
      <modifiedWord/>
      <trackRevisions>false</trackRevisions>
    </reviewItem>
    <reviewItem>
      <errorID>a9d88cca-64d9-4687-9952-126f2988f566</errorID>
      <errorWord>（</errorWord>
      <group>L1_Format</group>
      <groupName>格式问题</groupName>
      <ability>L2_HalfPunc_CN</ability>
      <abilityName>全半角问题</abilityName>
      <candidateList>
        <item>(</item>
      </candidateList>
      <explain>文本全半角错误。</explain>
      <paraID>7BC9F8E7</paraID>
      <start>27</start>
      <end>28</end>
      <status>unmodified</status>
      <modifiedWord/>
      <trackRevisions>false</trackRevisions>
    </reviewItem>
    <reviewItem>
      <errorID>057f29c8-9271-4e1f-8e08-036d23ea772b</errorID>
      <errorWord>）</errorWord>
      <group>L1_Format</group>
      <groupName>格式问题</groupName>
      <ability>L2_HalfPunc_CN</ability>
      <abilityName>全半角问题</abilityName>
      <candidateList>
        <item>)</item>
      </candidateList>
      <explain>文本全半角错误。</explain>
      <paraID>7BC9F8E7</paraID>
      <start>30</start>
      <end>31</end>
      <status>unmodified</status>
      <modifiedWord/>
      <trackRevisions>false</trackRevisions>
    </reviewItem>
    <reviewItem>
      <errorID>f3f8e1c3-5ca7-4891-a9b8-2174cba0ea71</errorID>
      <errorWord>，</errorWord>
      <group>L1_Punc</group>
      <groupName>标点问题</groupName>
      <ability>L2_Punc_CN</ability>
      <abilityName>标点符号问题</abilityName>
      <candidateList>
        <item>。</item>
      </candidateList>
      <explain/>
      <paraID>4E50D3B9</paraID>
      <start>98</start>
      <end>99</end>
      <status>unmodified</status>
      <modifiedWord/>
      <trackRevisions>false</trackRevisions>
    </reviewItem>
    <reviewItem>
      <errorID>1ea63fd4-0a0c-4759-a5bb-7be2fafa75bf</errorID>
      <errorWord>（</errorWord>
      <group>L1_Format</group>
      <groupName>格式问题</groupName>
      <ability>L2_HalfPunc_CN</ability>
      <abilityName>全半角问题</abilityName>
      <candidateList>
        <item>(</item>
      </candidateList>
      <explain>文本全半角错误。</explain>
      <paraID>2192C503</paraID>
      <start>12</start>
      <end>13</end>
      <status>unmodified</status>
      <modifiedWord/>
      <trackRevisions>false</trackRevisions>
    </reviewItem>
    <reviewItem>
      <errorID>40b64492-d8c8-4a13-a38f-1124e9087655</errorID>
      <errorWord>）</errorWord>
      <group>L1_Format</group>
      <groupName>格式问题</groupName>
      <ability>L2_HalfPunc_CN</ability>
      <abilityName>全半角问题</abilityName>
      <candidateList>
        <item>)</item>
      </candidateList>
      <explain>文本全半角错误。</explain>
      <paraID>2192C503</paraID>
      <start>17</start>
      <end>18</end>
      <status>unmodified</status>
      <modifiedWord/>
      <trackRevisions>false</trackRevisions>
    </reviewItem>
    <reviewItem>
      <errorID>67619649-5c04-4f51-99c3-de5f0e8e7f8d</errorID>
      <errorWord> </errorWord>
      <group>L1_Punc</group>
      <groupName>标点问题</groupName>
      <ability>L2_Punc_CN</ability>
      <abilityName>标点符号问题</abilityName>
      <candidateList>
        <item/>
      </candidateList>
      <explain>此处空格冗余，建议删除。</explain>
      <paraID>5974F311</paraID>
      <start>9</start>
      <end>10</end>
      <status>unmodified</status>
      <modifiedWord/>
      <trackRevisions>false</trackRevisions>
    </reviewItem>
    <reviewItem>
      <errorID>2945b2a7-8774-4297-8b44-57212025ae4a</errorID>
      <errorWord> ~ </errorWord>
      <group>L1_Grammar</group>
      <groupName>语法问题</groupName>
      <ability>L2_Grammar</ability>
      <abilityName>语法错误</abilityName>
      <candidateList>
        <item>至</item>
      </candidateList>
      <explain/>
      <paraID>5974F311</paraID>
      <start>13</start>
      <end>16</end>
      <status>unmodified</status>
      <modifiedWord/>
      <trackRevisions>false</trackRevisions>
    </reviewItem>
    <reviewItem>
      <errorID>f4bb8d3c-b66a-41f6-b836-31fd77fc8203</errorID>
      <errorWord> </errorWord>
      <group>L1_Punc</group>
      <groupName>标点问题</groupName>
      <ability>L2_Punc_CN</ability>
      <abilityName>标点符号问题</abilityName>
      <candidateList>
        <item/>
      </candidateList>
      <explain>此处空格冗余，建议删除。</explain>
      <paraID>5974F311</paraID>
      <start>17</start>
      <end>18</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eb3862-df2b-4e4a-9125-0010edbc2630}">
  <ds:schemaRefs/>
</ds:datastoreItem>
</file>

<file path=customXml/itemProps3.xml><?xml version="1.0" encoding="utf-8"?>
<ds:datastoreItem xmlns:ds="http://schemas.openxmlformats.org/officeDocument/2006/customXml" ds:itemID="{22136803-2B5B-4A32-B440-5A62B8CAFC6C}">
  <ds:schemaRefs/>
</ds:datastoreItem>
</file>

<file path=docProps/app.xml><?xml version="1.0" encoding="utf-8"?>
<Properties xmlns="http://schemas.openxmlformats.org/officeDocument/2006/extended-properties" xmlns:vt="http://schemas.openxmlformats.org/officeDocument/2006/docPropsVTypes">
  <Template>Normal.dotm</Template>
  <Company>深圳市斯尔顿科技有限公司</Company>
  <Pages>14</Pages>
  <Words>4363</Words>
  <Characters>5397</Characters>
  <Lines>29</Lines>
  <Paragraphs>8</Paragraphs>
  <TotalTime>29</TotalTime>
  <ScaleCrop>false</ScaleCrop>
  <LinksUpToDate>false</LinksUpToDate>
  <CharactersWithSpaces>5712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2022-07-27T07:51:00Z</dcterms:created>
  <dc:creator>hp</dc:creator>
  <cp:lastModifiedBy>Doki</cp:lastModifiedBy>
  <cp:lastPrinted>2023-11-06T01:38:00Z</cp:lastPrinted>
  <dcterms:modified xsi:type="dcterms:W3CDTF">2026-07-30T01:12:15Z</dcterms:modified>
  <dc:title>DBS44</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15E77FF81A184F9DBFF43D54737A9656_13</vt:lpwstr>
  </property>
  <property fmtid="{D5CDD505-2E9C-101B-9397-08002B2CF9AE}" pid="4" name="KSOTemplateDocerSaveRecord">
    <vt:lpwstr>eyJoZGlkIjoiMmY3MGU4OTBlOTdhZTg2ZDhjMmFlMjExNmY5OTA5MWMiLCJ1c2VySWQiOiIyNzQ0ODM0MTcifQ==</vt:lpwstr>
  </property>
</Properties>
</file>